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ind w:left="0" w:firstLine="0"/>
        <w:jc w:val="center"/>
        <w:spacing w:line="360" w:lineRule="auto"/>
        <w:rPr>
          <w:rFonts w:hint="default" w:ascii="Times New Roman" w:eastAsia="宋体" w:cs="宋体"/>
          <w:b/>
          <w:color w:val="auto"/>
          <w:sz w:val="48"/>
          <w:szCs w:val="48"/>
          <w:highlight w:val="none"/>
        </w:rPr>
      </w:pPr>
      <w:r>
        <w:rPr>
          <w:rFonts w:hint="default" w:ascii="Times New Roman" w:eastAsia="宋体" w:cs="宋体"/>
          <w:b/>
          <w:color w:val="auto"/>
          <w:sz w:val="48"/>
          <w:szCs w:val="48"/>
          <w:highlight w:val="none"/>
        </w:rPr>
      </w:r>
      <w:r/>
    </w:p>
    <w:p>
      <w:pPr>
        <w:pStyle w:val="1080"/>
        <w:ind w:left="0" w:firstLine="0"/>
        <w:jc w:val="center"/>
        <w:spacing w:line="360" w:lineRule="auto"/>
        <w:rPr>
          <w:rFonts w:hint="default" w:ascii="Times New Roman" w:eastAsia="宋体" w:cs="宋体"/>
          <w:b/>
          <w:color w:val="auto"/>
          <w:sz w:val="52"/>
          <w:szCs w:val="48"/>
          <w:highlight w:val="none"/>
        </w:rPr>
      </w:pPr>
      <w:r/>
      <w:bookmarkStart w:id="0" w:name="_Hlk104983306"/>
      <w:r/>
      <w:bookmarkEnd w:id="0"/>
      <w:r/>
      <w:r/>
    </w:p>
    <w:p>
      <w:pPr>
        <w:pStyle w:val="1080"/>
        <w:ind w:left="0" w:firstLine="0"/>
        <w:jc w:val="center"/>
        <w:spacing w:line="360" w:lineRule="auto"/>
        <w:rPr>
          <w:rFonts w:hint="default" w:ascii="Times New Roman" w:eastAsia="宋体" w:cs="宋体"/>
          <w:color w:val="auto"/>
          <w:sz w:val="56"/>
          <w:szCs w:val="72"/>
          <w:highlight w:val="none"/>
        </w:rPr>
      </w:pPr>
      <w:r>
        <w:rPr>
          <w:rFonts w:ascii="Times New Roman" w:eastAsia="宋体" w:cs="宋体"/>
          <w:b/>
          <w:color w:val="auto"/>
          <w:sz w:val="56"/>
          <w:szCs w:val="72"/>
          <w:highlight w:val="none"/>
        </w:rPr>
        <w:t xml:space="preserve">南通市医疗保障基金智能监管改革试点建设项目</w:t>
      </w:r>
      <w:r/>
    </w:p>
    <w:p>
      <w:pPr>
        <w:pStyle w:val="1080"/>
        <w:ind w:left="0" w:firstLine="520"/>
        <w:spacing w:line="360" w:lineRule="auto"/>
        <w:rPr>
          <w:rFonts w:hint="default" w:ascii="Times New Roman" w:eastAsia="宋体" w:cs="宋体"/>
          <w:color w:val="auto"/>
          <w:highlight w:val="none"/>
        </w:rPr>
      </w:pPr>
      <w:r>
        <w:rPr>
          <w:rFonts w:hint="default" w:ascii="Times New Roman" w:eastAsia="宋体" w:cs="宋体"/>
          <w:color w:val="auto"/>
          <w:highlight w:val="none"/>
        </w:rPr>
      </w:r>
      <w:r/>
    </w:p>
    <w:p>
      <w:pPr>
        <w:pStyle w:val="1080"/>
        <w:ind w:left="0" w:firstLine="520"/>
        <w:spacing w:line="360" w:lineRule="auto"/>
        <w:rPr>
          <w:rFonts w:hint="default" w:ascii="Times New Roman" w:eastAsia="宋体" w:cs="宋体"/>
          <w:color w:val="auto"/>
          <w:highlight w:val="none"/>
        </w:rPr>
      </w:pPr>
      <w:r>
        <w:rPr>
          <w:rFonts w:hint="default" w:ascii="Times New Roman" w:eastAsia="宋体" w:cs="宋体"/>
          <w:color w:val="auto"/>
          <w:highlight w:val="none"/>
        </w:rPr>
      </w:r>
      <w:r/>
    </w:p>
    <w:p>
      <w:pPr>
        <w:pStyle w:val="1080"/>
        <w:ind w:left="0" w:firstLine="520"/>
        <w:spacing w:line="360" w:lineRule="auto"/>
        <w:rPr>
          <w:rFonts w:hint="default" w:ascii="Times New Roman" w:eastAsia="宋体" w:cs="宋体"/>
          <w:color w:val="auto"/>
          <w:highlight w:val="none"/>
        </w:rPr>
      </w:pPr>
      <w:r>
        <w:rPr>
          <w:rFonts w:hint="default" w:ascii="Times New Roman" w:eastAsia="宋体" w:cs="宋体"/>
          <w:color w:val="auto"/>
          <w:highlight w:val="none"/>
        </w:rPr>
      </w:r>
      <w:r/>
    </w:p>
    <w:p>
      <w:pPr>
        <w:pStyle w:val="1080"/>
        <w:ind w:left="0" w:firstLine="520"/>
        <w:spacing w:line="360" w:lineRule="auto"/>
        <w:rPr>
          <w:rFonts w:hint="default" w:ascii="Times New Roman" w:eastAsia="宋体" w:cs="宋体"/>
          <w:color w:val="auto"/>
          <w:highlight w:val="none"/>
        </w:rPr>
      </w:pPr>
      <w:r>
        <w:rPr>
          <w:rFonts w:hint="default" w:ascii="Times New Roman" w:eastAsia="宋体" w:cs="宋体"/>
          <w:color w:val="auto"/>
          <w:highlight w:val="none"/>
        </w:rPr>
      </w:r>
      <w:r/>
    </w:p>
    <w:p>
      <w:pPr>
        <w:jc w:val="center"/>
        <w:spacing w:line="360" w:lineRule="auto"/>
        <w:rPr>
          <w:rFonts w:eastAsia="宋体" w:cs="宋体"/>
          <w:b/>
          <w:color w:val="auto"/>
          <w:sz w:val="72"/>
          <w:szCs w:val="72"/>
          <w:highlight w:val="none"/>
        </w:rPr>
      </w:pPr>
      <w:r/>
      <w:bookmarkStart w:id="1" w:name="_Toc30582"/>
      <w:r>
        <w:rPr>
          <w:rFonts w:hint="eastAsia" w:eastAsia="宋体" w:cs="宋体"/>
          <w:b/>
          <w:color w:val="auto"/>
          <w:sz w:val="72"/>
          <w:szCs w:val="72"/>
          <w:highlight w:val="none"/>
        </w:rPr>
        <w:t xml:space="preserve">公开招标文件</w:t>
      </w:r>
      <w:bookmarkEnd w:id="1"/>
      <w:r/>
      <w:r/>
    </w:p>
    <w:p>
      <w:pPr>
        <w:jc w:val="center"/>
        <w:spacing w:line="360" w:lineRule="auto"/>
        <w:rPr>
          <w:rFonts w:eastAsia="宋体" w:cs="宋体"/>
          <w:b/>
          <w:color w:val="auto"/>
          <w:sz w:val="44"/>
          <w:szCs w:val="44"/>
          <w:highlight w:val="none"/>
        </w:rPr>
      </w:pPr>
      <w:r/>
      <w:bookmarkStart w:id="2" w:name="_Toc1434"/>
      <w:r>
        <w:rPr>
          <w:rFonts w:hint="eastAsia" w:eastAsia="宋体" w:cs="宋体"/>
          <w:b/>
          <w:color w:val="auto"/>
          <w:sz w:val="44"/>
          <w:szCs w:val="44"/>
          <w:highlight w:val="none"/>
        </w:rPr>
        <w:t xml:space="preserve">（资格后审）</w:t>
      </w:r>
      <w:bookmarkEnd w:id="2"/>
      <w:r/>
      <w:r/>
    </w:p>
    <w:p>
      <w:pPr>
        <w:pStyle w:val="1080"/>
        <w:ind w:left="0" w:firstLine="520"/>
        <w:spacing w:line="360" w:lineRule="auto"/>
        <w:rPr>
          <w:rFonts w:hint="default" w:ascii="Times New Roman" w:eastAsia="宋体" w:cs="宋体"/>
          <w:color w:val="auto"/>
          <w:highlight w:val="none"/>
        </w:rPr>
      </w:pPr>
      <w:r>
        <w:rPr>
          <w:rFonts w:hint="default" w:ascii="Times New Roman" w:eastAsia="宋体" w:cs="宋体"/>
          <w:color w:val="auto"/>
          <w:highlight w:val="none"/>
        </w:rPr>
      </w:r>
      <w:r/>
    </w:p>
    <w:p>
      <w:pPr>
        <w:jc w:val="center"/>
        <w:spacing w:line="360" w:lineRule="auto"/>
        <w:rPr>
          <w:rFonts w:eastAsia="宋体" w:cs="宋体"/>
          <w:b/>
          <w:color w:val="auto"/>
          <w:sz w:val="36"/>
          <w:highlight w:val="none"/>
        </w:rPr>
      </w:pPr>
      <w:r>
        <w:rPr>
          <w:rFonts w:eastAsia="宋体" w:cs="宋体"/>
          <w:b/>
          <w:color w:val="auto"/>
          <w:sz w:val="36"/>
          <w:highlight w:val="none"/>
        </w:rPr>
      </w:r>
      <w:r/>
    </w:p>
    <w:p>
      <w:pPr>
        <w:pStyle w:val="1033"/>
        <w:spacing w:line="360" w:lineRule="auto"/>
        <w:rPr>
          <w:rFonts w:ascii="Times New Roman" w:eastAsia="宋体" w:cs="宋体"/>
          <w:color w:val="auto"/>
          <w:highlight w:val="none"/>
        </w:rPr>
      </w:pPr>
      <w:r>
        <w:rPr>
          <w:rFonts w:ascii="Times New Roman" w:eastAsia="宋体" w:cs="宋体"/>
          <w:color w:val="auto"/>
          <w:highlight w:val="none"/>
        </w:rPr>
      </w:r>
      <w:r/>
    </w:p>
    <w:p>
      <w:pPr>
        <w:pStyle w:val="1033"/>
        <w:spacing w:line="360" w:lineRule="auto"/>
        <w:rPr>
          <w:rFonts w:ascii="Times New Roman" w:eastAsia="宋体" w:cs="宋体"/>
          <w:color w:val="auto"/>
          <w:highlight w:val="none"/>
        </w:rPr>
      </w:pPr>
      <w:r>
        <w:rPr>
          <w:rFonts w:ascii="Times New Roman" w:eastAsia="宋体" w:cs="宋体"/>
          <w:color w:val="auto"/>
          <w:highlight w:val="none"/>
        </w:rPr>
      </w:r>
      <w:r/>
    </w:p>
    <w:p>
      <w:pPr>
        <w:spacing w:line="360" w:lineRule="auto"/>
        <w:tabs>
          <w:tab w:val="left" w:pos="6336" w:leader="none"/>
        </w:tabs>
        <w:rPr>
          <w:rFonts w:eastAsia="宋体" w:cs="宋体"/>
          <w:b/>
          <w:color w:val="auto"/>
          <w:sz w:val="32"/>
          <w:szCs w:val="32"/>
          <w:highlight w:val="none"/>
        </w:rPr>
      </w:pPr>
      <w:r>
        <w:rPr>
          <w:rFonts w:hint="eastAsia" w:eastAsia="宋体" w:cs="宋体"/>
          <w:b/>
          <w:color w:val="auto"/>
          <w:sz w:val="36"/>
          <w:highlight w:val="none"/>
        </w:rPr>
        <w:tab/>
      </w:r>
      <w:r/>
    </w:p>
    <w:p>
      <w:pPr>
        <w:pStyle w:val="1033"/>
        <w:jc w:val="center"/>
        <w:spacing w:line="360" w:lineRule="auto"/>
        <w:rPr>
          <w:rFonts w:ascii="Times New Roman" w:eastAsia="宋体" w:cs="宋体"/>
          <w:b/>
          <w:color w:val="auto"/>
          <w:sz w:val="32"/>
          <w:szCs w:val="32"/>
          <w:highlight w:val="none"/>
        </w:rPr>
      </w:pPr>
      <w:r/>
      <w:bookmarkStart w:id="3" w:name="_Toc18809"/>
      <w:r>
        <w:rPr>
          <w:rFonts w:hint="eastAsia" w:ascii="Times New Roman" w:eastAsia="宋体" w:cs="宋体"/>
          <w:b/>
          <w:color w:val="auto"/>
          <w:sz w:val="32"/>
          <w:szCs w:val="32"/>
          <w:highlight w:val="none"/>
        </w:rPr>
        <w:t xml:space="preserve">招标人：南通市医疗保障局</w:t>
      </w:r>
      <w:bookmarkEnd w:id="3"/>
      <w:r/>
      <w:r/>
    </w:p>
    <w:p>
      <w:pPr>
        <w:jc w:val="center"/>
        <w:spacing w:line="360" w:lineRule="auto"/>
        <w:rPr>
          <w:rFonts w:eastAsia="宋体" w:cs="宋体"/>
          <w:b/>
          <w:color w:val="auto"/>
          <w:sz w:val="32"/>
          <w:szCs w:val="32"/>
          <w:highlight w:val="none"/>
        </w:rPr>
      </w:pPr>
      <w:r/>
      <w:bookmarkStart w:id="4" w:name="_Toc24678"/>
      <w:r>
        <w:rPr>
          <w:rFonts w:hint="eastAsia" w:eastAsia="宋体" w:cs="宋体"/>
          <w:b/>
          <w:color w:val="auto"/>
          <w:sz w:val="32"/>
          <w:szCs w:val="32"/>
          <w:highlight w:val="none"/>
        </w:rPr>
        <w:t xml:space="preserve">代理机构：宏信天德工程顾问有限公司</w:t>
      </w:r>
      <w:bookmarkEnd w:id="4"/>
      <w:r/>
      <w:r/>
    </w:p>
    <w:p>
      <w:pPr>
        <w:jc w:val="center"/>
        <w:spacing w:line="360" w:lineRule="auto"/>
        <w:rPr>
          <w:rFonts w:eastAsia="宋体" w:cs="宋体"/>
          <w:b/>
          <w:color w:val="auto"/>
          <w:sz w:val="32"/>
          <w:szCs w:val="32"/>
          <w:highlight w:val="none"/>
        </w:rPr>
        <w:sectPr>
          <w:headerReference w:type="default" r:id="rId9"/>
          <w:headerReference w:type="first" r:id="rId10"/>
          <w:footerReference w:type="even" r:id="rId15"/>
          <w:footerReference w:type="first" r:id="rId16"/>
          <w:footnotePr/>
          <w:endnotePr/>
          <w:type w:val="nextPage"/>
          <w:pgSz w:w="11905" w:h="16838" w:orient="portrait"/>
          <w:pgMar w:top="1417" w:right="1701" w:bottom="1587" w:left="1701" w:header="850" w:footer="992" w:gutter="0"/>
          <w:pgNumType w:start="1"/>
          <w:cols w:num="1" w:sep="0" w:space="1701" w:equalWidth="1"/>
          <w:docGrid w:linePitch="360"/>
        </w:sectPr>
      </w:pPr>
      <w:r>
        <w:rPr>
          <w:rFonts w:hint="eastAsia" w:eastAsia="宋体" w:cs="宋体"/>
          <w:b/>
          <w:color w:val="auto"/>
          <w:sz w:val="32"/>
          <w:szCs w:val="32"/>
          <w:highlight w:val="none"/>
        </w:rPr>
        <w:t xml:space="preserve">二○二五年十一月</w:t>
      </w:r>
      <w:r/>
    </w:p>
    <w:p>
      <w:pPr>
        <w:jc w:val="center"/>
        <w:spacing w:line="360" w:lineRule="auto"/>
        <w:rPr>
          <w:rFonts w:eastAsia="宋体" w:cs="宋体"/>
          <w:b/>
          <w:bCs/>
          <w:color w:val="auto"/>
          <w:sz w:val="36"/>
          <w:szCs w:val="36"/>
          <w:highlight w:val="none"/>
        </w:rPr>
      </w:pPr>
      <w:r/>
      <w:bookmarkStart w:id="5" w:name="_Toc363573853"/>
      <w:r>
        <w:rPr>
          <w:rFonts w:hint="eastAsia" w:eastAsia="宋体" w:cs="宋体"/>
          <w:b/>
          <w:bCs/>
          <w:color w:val="auto"/>
          <w:sz w:val="36"/>
          <w:szCs w:val="36"/>
          <w:highlight w:val="none"/>
        </w:rPr>
        <w:t xml:space="preserve">目录</w:t>
      </w:r>
      <w:r/>
    </w:p>
    <w:p>
      <w:pPr>
        <w:pStyle w:val="971"/>
        <w:spacing w:after="0" w:line="360" w:lineRule="auto"/>
        <w:tabs>
          <w:tab w:val="right" w:pos="8867" w:leader="dot"/>
        </w:tabs>
        <w:rPr>
          <w:rFonts w:eastAsia="宋体" w:cs="宋体"/>
          <w:color w:val="auto"/>
          <w:highlight w:val="none"/>
        </w:rPr>
      </w:pPr>
      <w:r>
        <w:rPr>
          <w:rFonts w:hint="eastAsia" w:eastAsia="宋体" w:cs="宋体"/>
          <w:b/>
          <w:color w:val="auto"/>
          <w:szCs w:val="36"/>
          <w:highlight w:val="none"/>
        </w:rPr>
        <w:fldChar w:fldCharType="begin"/>
      </w:r>
      <w:r>
        <w:rPr>
          <w:rFonts w:hint="eastAsia" w:eastAsia="宋体" w:cs="宋体"/>
          <w:b/>
          <w:color w:val="auto"/>
          <w:szCs w:val="36"/>
          <w:highlight w:val="none"/>
        </w:rPr>
        <w:instrText xml:space="preserve">TOC \o "1-1" \h \u </w:instrText>
      </w:r>
      <w:r>
        <w:rPr>
          <w:rFonts w:hint="eastAsia" w:eastAsia="宋体" w:cs="宋体"/>
          <w:b/>
          <w:color w:val="auto"/>
          <w:szCs w:val="36"/>
          <w:highlight w:val="none"/>
        </w:rPr>
        <w:fldChar w:fldCharType="separate"/>
      </w:r>
      <w:r>
        <w:rPr>
          <w:color w:val="auto"/>
          <w:highlight w:val="none"/>
        </w:rPr>
        <w:fldChar w:fldCharType="begin"/>
      </w:r>
      <w:r>
        <w:rPr>
          <w:color w:val="auto"/>
          <w:highlight w:val="none"/>
        </w:rPr>
        <w:instrText xml:space="preserve"> HYPERLINK \l "_Toc22769" </w:instrText>
      </w:r>
      <w:r>
        <w:rPr>
          <w:color w:val="auto"/>
          <w:highlight w:val="none"/>
        </w:rPr>
        <w:fldChar w:fldCharType="separate"/>
      </w:r>
      <w:r>
        <w:rPr>
          <w:rFonts w:hint="eastAsia" w:eastAsia="宋体" w:cs="宋体"/>
          <w:color w:val="auto"/>
          <w:szCs w:val="36"/>
          <w:highlight w:val="none"/>
        </w:rPr>
        <w:t xml:space="preserve">第一章 招标公告</w:t>
      </w:r>
      <w:r>
        <w:rPr>
          <w:rFonts w:hint="eastAsia" w:eastAsia="宋体" w:cs="宋体"/>
          <w:color w:val="auto"/>
          <w:highlight w:val="none"/>
        </w:rPr>
        <w:tab/>
      </w:r>
      <w:r>
        <w:rPr>
          <w:rFonts w:hint="eastAsia" w:eastAsia="宋体" w:cs="宋体"/>
          <w:color w:val="auto"/>
          <w:highlight w:val="none"/>
        </w:rPr>
        <w:fldChar w:fldCharType="begin"/>
      </w:r>
      <w:r>
        <w:rPr>
          <w:rFonts w:hint="eastAsia" w:eastAsia="宋体" w:cs="宋体"/>
          <w:color w:val="auto"/>
          <w:highlight w:val="none"/>
        </w:rPr>
        <w:instrText xml:space="preserve"> PAGEREF _Toc22769 \h </w:instrText>
      </w:r>
      <w:r>
        <w:rPr>
          <w:rFonts w:hint="eastAsia" w:eastAsia="宋体" w:cs="宋体"/>
          <w:color w:val="auto"/>
          <w:highlight w:val="none"/>
        </w:rPr>
        <w:fldChar w:fldCharType="separate"/>
      </w:r>
      <w:r>
        <w:rPr>
          <w:rFonts w:hint="eastAsia" w:eastAsia="宋体" w:cs="宋体"/>
          <w:color w:val="auto"/>
          <w:highlight w:val="none"/>
        </w:rPr>
        <w:t xml:space="preserve">1</w:t>
      </w:r>
      <w:r>
        <w:rPr>
          <w:rFonts w:hint="eastAsia" w:eastAsia="宋体" w:cs="宋体"/>
          <w:color w:val="auto"/>
          <w:highlight w:val="none"/>
        </w:rPr>
        <w:fldChar w:fldCharType="end"/>
      </w:r>
      <w:r>
        <w:rPr>
          <w:rFonts w:hint="eastAsia" w:eastAsia="宋体" w:cs="宋体"/>
          <w:color w:val="auto"/>
          <w:highlight w:val="none"/>
        </w:rPr>
        <w:fldChar w:fldCharType="end"/>
      </w:r>
      <w:r/>
    </w:p>
    <w:p>
      <w:pPr>
        <w:pStyle w:val="971"/>
        <w:spacing w:after="0" w:line="360" w:lineRule="auto"/>
        <w:tabs>
          <w:tab w:val="right" w:pos="8867" w:leader="dot"/>
        </w:tabs>
        <w:rPr>
          <w:rFonts w:eastAsia="宋体" w:cs="宋体"/>
          <w:color w:val="auto"/>
          <w:highlight w:val="none"/>
        </w:rPr>
      </w:pPr>
      <w:r>
        <w:rPr>
          <w:color w:val="auto"/>
          <w:highlight w:val="none"/>
        </w:rPr>
        <w:fldChar w:fldCharType="begin"/>
      </w:r>
      <w:r>
        <w:rPr>
          <w:color w:val="auto"/>
          <w:highlight w:val="none"/>
        </w:rPr>
        <w:instrText xml:space="preserve"> HYPERLINK \l "_Toc7477" </w:instrText>
      </w:r>
      <w:r>
        <w:rPr>
          <w:color w:val="auto"/>
          <w:highlight w:val="none"/>
        </w:rPr>
        <w:fldChar w:fldCharType="separate"/>
      </w:r>
      <w:r>
        <w:rPr>
          <w:rFonts w:hint="eastAsia" w:eastAsia="宋体" w:cs="宋体"/>
          <w:color w:val="auto"/>
          <w:szCs w:val="36"/>
          <w:highlight w:val="none"/>
        </w:rPr>
        <w:t xml:space="preserve">第二章 投标人须知</w:t>
      </w:r>
      <w:r>
        <w:rPr>
          <w:rFonts w:hint="eastAsia" w:eastAsia="宋体" w:cs="宋体"/>
          <w:color w:val="auto"/>
          <w:highlight w:val="none"/>
        </w:rPr>
        <w:tab/>
      </w:r>
      <w:r>
        <w:rPr>
          <w:rFonts w:hint="eastAsia" w:eastAsia="宋体" w:cs="宋体"/>
          <w:color w:val="auto"/>
          <w:highlight w:val="none"/>
        </w:rPr>
        <w:fldChar w:fldCharType="begin"/>
      </w:r>
      <w:r>
        <w:rPr>
          <w:rFonts w:hint="eastAsia" w:eastAsia="宋体" w:cs="宋体"/>
          <w:color w:val="auto"/>
          <w:highlight w:val="none"/>
        </w:rPr>
        <w:instrText xml:space="preserve"> PAGEREF _Toc7477 \h </w:instrText>
      </w:r>
      <w:r>
        <w:rPr>
          <w:rFonts w:hint="eastAsia" w:eastAsia="宋体" w:cs="宋体"/>
          <w:color w:val="auto"/>
          <w:highlight w:val="none"/>
        </w:rPr>
        <w:fldChar w:fldCharType="separate"/>
      </w:r>
      <w:r>
        <w:rPr>
          <w:rFonts w:hint="eastAsia" w:eastAsia="宋体" w:cs="宋体"/>
          <w:color w:val="auto"/>
          <w:highlight w:val="none"/>
        </w:rPr>
        <w:t xml:space="preserve">6</w:t>
      </w:r>
      <w:r>
        <w:rPr>
          <w:rFonts w:hint="eastAsia" w:eastAsia="宋体" w:cs="宋体"/>
          <w:color w:val="auto"/>
          <w:highlight w:val="none"/>
        </w:rPr>
        <w:fldChar w:fldCharType="end"/>
      </w:r>
      <w:r>
        <w:rPr>
          <w:rFonts w:hint="eastAsia" w:eastAsia="宋体" w:cs="宋体"/>
          <w:color w:val="auto"/>
          <w:highlight w:val="none"/>
        </w:rPr>
        <w:fldChar w:fldCharType="end"/>
      </w:r>
      <w:r/>
    </w:p>
    <w:p>
      <w:pPr>
        <w:pStyle w:val="971"/>
        <w:spacing w:after="0" w:line="360" w:lineRule="auto"/>
        <w:tabs>
          <w:tab w:val="right" w:pos="8867" w:leader="dot"/>
        </w:tabs>
        <w:rPr>
          <w:rFonts w:eastAsia="宋体" w:cs="宋体"/>
          <w:color w:val="auto"/>
          <w:highlight w:val="none"/>
        </w:rPr>
      </w:pPr>
      <w:r>
        <w:rPr>
          <w:color w:val="auto"/>
          <w:highlight w:val="none"/>
        </w:rPr>
        <w:fldChar w:fldCharType="begin"/>
      </w:r>
      <w:r>
        <w:rPr>
          <w:color w:val="auto"/>
          <w:highlight w:val="none"/>
        </w:rPr>
        <w:instrText xml:space="preserve"> HYPERLINK \l "_Toc16382" </w:instrText>
      </w:r>
      <w:r>
        <w:rPr>
          <w:color w:val="auto"/>
          <w:highlight w:val="none"/>
        </w:rPr>
        <w:fldChar w:fldCharType="separate"/>
      </w:r>
      <w:r>
        <w:rPr>
          <w:rFonts w:hint="eastAsia" w:eastAsia="宋体" w:cs="宋体"/>
          <w:color w:val="auto"/>
          <w:szCs w:val="36"/>
          <w:highlight w:val="none"/>
        </w:rPr>
        <w:t xml:space="preserve">第三章 项目需求</w:t>
      </w:r>
      <w:r>
        <w:rPr>
          <w:rFonts w:hint="eastAsia" w:eastAsia="宋体" w:cs="宋体"/>
          <w:color w:val="auto"/>
          <w:highlight w:val="none"/>
        </w:rPr>
        <w:tab/>
      </w:r>
      <w:r>
        <w:rPr>
          <w:rFonts w:hint="eastAsia" w:eastAsia="宋体" w:cs="宋体"/>
          <w:color w:val="auto"/>
          <w:highlight w:val="none"/>
        </w:rPr>
        <w:t xml:space="preserve">2</w:t>
      </w:r>
      <w:r>
        <w:rPr>
          <w:rFonts w:hint="eastAsia" w:eastAsia="宋体" w:cs="宋体"/>
          <w:color w:val="auto"/>
          <w:highlight w:val="none"/>
        </w:rPr>
        <w:fldChar w:fldCharType="end"/>
      </w:r>
      <w:r>
        <w:rPr>
          <w:rFonts w:hint="eastAsia" w:eastAsia="宋体" w:cs="宋体"/>
          <w:color w:val="auto"/>
          <w:highlight w:val="none"/>
        </w:rPr>
        <w:t xml:space="preserve">1</w:t>
      </w:r>
      <w:r/>
    </w:p>
    <w:p>
      <w:pPr>
        <w:pStyle w:val="971"/>
        <w:spacing w:after="0" w:line="360" w:lineRule="auto"/>
        <w:tabs>
          <w:tab w:val="right" w:pos="8867" w:leader="dot"/>
        </w:tabs>
        <w:rPr>
          <w:rFonts w:eastAsia="宋体" w:cs="宋体"/>
          <w:color w:val="auto"/>
          <w:highlight w:val="none"/>
        </w:rPr>
      </w:pPr>
      <w:r>
        <w:rPr>
          <w:color w:val="auto"/>
          <w:highlight w:val="none"/>
        </w:rPr>
        <w:fldChar w:fldCharType="begin"/>
      </w:r>
      <w:r>
        <w:rPr>
          <w:color w:val="auto"/>
          <w:highlight w:val="none"/>
        </w:rPr>
        <w:instrText xml:space="preserve"> HYPERLINK \l "_Toc28760" </w:instrText>
      </w:r>
      <w:r>
        <w:rPr>
          <w:color w:val="auto"/>
          <w:highlight w:val="none"/>
        </w:rPr>
        <w:fldChar w:fldCharType="separate"/>
      </w:r>
      <w:r>
        <w:rPr>
          <w:rFonts w:hint="eastAsia" w:eastAsia="宋体" w:cs="宋体"/>
          <w:color w:val="auto"/>
          <w:szCs w:val="36"/>
          <w:highlight w:val="none"/>
        </w:rPr>
        <w:t xml:space="preserve">第四章 评审方法和程序</w:t>
      </w:r>
      <w:r>
        <w:rPr>
          <w:rFonts w:hint="eastAsia" w:eastAsia="宋体" w:cs="宋体"/>
          <w:color w:val="auto"/>
          <w:highlight w:val="none"/>
        </w:rPr>
        <w:tab/>
      </w:r>
      <w:r>
        <w:rPr>
          <w:rFonts w:hint="eastAsia" w:eastAsia="宋体" w:cs="宋体"/>
          <w:color w:val="auto"/>
          <w:highlight w:val="none"/>
        </w:rPr>
        <w:t xml:space="preserve">2</w:t>
      </w:r>
      <w:r>
        <w:rPr>
          <w:rFonts w:hint="eastAsia" w:eastAsia="宋体" w:cs="宋体"/>
          <w:color w:val="auto"/>
          <w:highlight w:val="none"/>
        </w:rPr>
        <w:fldChar w:fldCharType="end"/>
      </w:r>
      <w:r>
        <w:rPr>
          <w:rFonts w:hint="eastAsia" w:eastAsia="宋体" w:cs="宋体"/>
          <w:color w:val="auto"/>
          <w:highlight w:val="none"/>
        </w:rPr>
        <w:t xml:space="preserve">4</w:t>
      </w:r>
      <w:r/>
    </w:p>
    <w:p>
      <w:pPr>
        <w:pStyle w:val="971"/>
        <w:spacing w:after="0" w:line="360" w:lineRule="auto"/>
        <w:tabs>
          <w:tab w:val="right" w:pos="8867" w:leader="dot"/>
        </w:tabs>
        <w:rPr>
          <w:rFonts w:eastAsia="宋体" w:cs="宋体"/>
          <w:color w:val="auto"/>
          <w:highlight w:val="none"/>
        </w:rPr>
      </w:pPr>
      <w:r>
        <w:rPr>
          <w:color w:val="auto"/>
          <w:highlight w:val="none"/>
        </w:rPr>
        <w:fldChar w:fldCharType="begin"/>
      </w:r>
      <w:r>
        <w:rPr>
          <w:color w:val="auto"/>
          <w:highlight w:val="none"/>
        </w:rPr>
        <w:instrText xml:space="preserve"> HYPERLINK \l "_Toc7894" </w:instrText>
      </w:r>
      <w:r>
        <w:rPr>
          <w:color w:val="auto"/>
          <w:highlight w:val="none"/>
        </w:rPr>
        <w:fldChar w:fldCharType="separate"/>
      </w:r>
      <w:r>
        <w:rPr>
          <w:rFonts w:hint="eastAsia" w:eastAsia="宋体" w:cs="宋体"/>
          <w:color w:val="auto"/>
          <w:szCs w:val="36"/>
          <w:highlight w:val="none"/>
        </w:rPr>
        <w:t xml:space="preserve">第五章 合同主要条款</w:t>
      </w:r>
      <w:r>
        <w:rPr>
          <w:rFonts w:hint="eastAsia" w:eastAsia="宋体" w:cs="宋体"/>
          <w:color w:val="auto"/>
          <w:highlight w:val="none"/>
        </w:rPr>
        <w:tab/>
      </w:r>
      <w:r>
        <w:rPr>
          <w:rFonts w:hint="eastAsia" w:eastAsia="宋体" w:cs="宋体"/>
          <w:color w:val="auto"/>
          <w:highlight w:val="none"/>
        </w:rPr>
        <w:t xml:space="preserve">3</w:t>
      </w:r>
      <w:r>
        <w:rPr>
          <w:rFonts w:hint="eastAsia" w:eastAsia="宋体" w:cs="宋体"/>
          <w:color w:val="auto"/>
          <w:highlight w:val="none"/>
        </w:rPr>
        <w:fldChar w:fldCharType="end"/>
      </w:r>
      <w:r>
        <w:rPr>
          <w:rFonts w:hint="eastAsia" w:eastAsia="宋体" w:cs="宋体"/>
          <w:color w:val="auto"/>
          <w:highlight w:val="none"/>
        </w:rPr>
        <w:t xml:space="preserve">2</w:t>
      </w:r>
      <w:r/>
    </w:p>
    <w:p>
      <w:pPr>
        <w:pStyle w:val="971"/>
        <w:spacing w:after="0" w:line="360" w:lineRule="auto"/>
        <w:tabs>
          <w:tab w:val="right" w:pos="8867" w:leader="dot"/>
        </w:tabs>
        <w:rPr>
          <w:rFonts w:eastAsia="宋体" w:cs="宋体"/>
          <w:color w:val="auto"/>
          <w:highlight w:val="none"/>
        </w:rPr>
      </w:pPr>
      <w:r>
        <w:rPr>
          <w:color w:val="auto"/>
          <w:highlight w:val="none"/>
        </w:rPr>
        <w:fldChar w:fldCharType="begin"/>
      </w:r>
      <w:r>
        <w:rPr>
          <w:color w:val="auto"/>
          <w:highlight w:val="none"/>
        </w:rPr>
        <w:instrText xml:space="preserve"> HYPERLINK \l "_Toc30633" </w:instrText>
      </w:r>
      <w:r>
        <w:rPr>
          <w:color w:val="auto"/>
          <w:highlight w:val="none"/>
        </w:rPr>
        <w:fldChar w:fldCharType="separate"/>
      </w:r>
      <w:r>
        <w:rPr>
          <w:rFonts w:hint="eastAsia" w:eastAsia="宋体" w:cs="宋体"/>
          <w:color w:val="auto"/>
          <w:szCs w:val="36"/>
          <w:highlight w:val="none"/>
        </w:rPr>
        <w:t xml:space="preserve">第六章 合同授予</w:t>
      </w:r>
      <w:r>
        <w:rPr>
          <w:rFonts w:hint="eastAsia" w:eastAsia="宋体" w:cs="宋体"/>
          <w:color w:val="auto"/>
          <w:highlight w:val="none"/>
        </w:rPr>
        <w:tab/>
      </w:r>
      <w:r>
        <w:rPr>
          <w:rFonts w:hint="eastAsia" w:eastAsia="宋体" w:cs="宋体"/>
          <w:color w:val="auto"/>
          <w:highlight w:val="none"/>
        </w:rPr>
        <w:t xml:space="preserve">4</w:t>
      </w:r>
      <w:r>
        <w:rPr>
          <w:rFonts w:hint="eastAsia" w:eastAsia="宋体" w:cs="宋体"/>
          <w:color w:val="auto"/>
          <w:highlight w:val="none"/>
        </w:rPr>
        <w:fldChar w:fldCharType="end"/>
      </w:r>
      <w:r>
        <w:rPr>
          <w:rFonts w:hint="eastAsia" w:eastAsia="宋体" w:cs="宋体"/>
          <w:color w:val="auto"/>
          <w:highlight w:val="none"/>
        </w:rPr>
        <w:t xml:space="preserve">1</w:t>
      </w:r>
      <w:r/>
    </w:p>
    <w:p>
      <w:pPr>
        <w:pStyle w:val="971"/>
        <w:spacing w:after="0" w:line="360" w:lineRule="auto"/>
        <w:tabs>
          <w:tab w:val="right" w:pos="8867" w:leader="dot"/>
        </w:tabs>
        <w:rPr>
          <w:rFonts w:eastAsia="宋体" w:cs="宋体"/>
          <w:color w:val="auto"/>
          <w:highlight w:val="none"/>
        </w:rPr>
      </w:pPr>
      <w:r>
        <w:rPr>
          <w:color w:val="auto"/>
          <w:highlight w:val="none"/>
        </w:rPr>
        <w:fldChar w:fldCharType="begin"/>
      </w:r>
      <w:r>
        <w:rPr>
          <w:color w:val="auto"/>
          <w:highlight w:val="none"/>
        </w:rPr>
        <w:instrText xml:space="preserve"> HYPERLINK \l "_Toc6012" </w:instrText>
      </w:r>
      <w:r>
        <w:rPr>
          <w:color w:val="auto"/>
          <w:highlight w:val="none"/>
        </w:rPr>
        <w:fldChar w:fldCharType="separate"/>
      </w:r>
      <w:r>
        <w:rPr>
          <w:rFonts w:hint="eastAsia" w:eastAsia="宋体" w:cs="宋体"/>
          <w:color w:val="auto"/>
          <w:szCs w:val="36"/>
          <w:highlight w:val="none"/>
        </w:rPr>
        <w:t xml:space="preserve">第七章 质疑与投诉</w:t>
      </w:r>
      <w:r>
        <w:rPr>
          <w:rFonts w:hint="eastAsia" w:eastAsia="宋体" w:cs="宋体"/>
          <w:color w:val="auto"/>
          <w:highlight w:val="none"/>
        </w:rPr>
        <w:tab/>
      </w:r>
      <w:r>
        <w:rPr>
          <w:rFonts w:hint="eastAsia" w:eastAsia="宋体" w:cs="宋体"/>
          <w:color w:val="auto"/>
          <w:highlight w:val="none"/>
        </w:rPr>
        <w:t xml:space="preserve">4</w:t>
      </w:r>
      <w:r>
        <w:rPr>
          <w:rFonts w:hint="eastAsia" w:eastAsia="宋体" w:cs="宋体"/>
          <w:color w:val="auto"/>
          <w:highlight w:val="none"/>
        </w:rPr>
        <w:fldChar w:fldCharType="end"/>
      </w:r>
      <w:r>
        <w:rPr>
          <w:rFonts w:hint="eastAsia" w:eastAsia="宋体" w:cs="宋体"/>
          <w:color w:val="auto"/>
          <w:highlight w:val="none"/>
        </w:rPr>
        <w:t xml:space="preserve">1</w:t>
      </w:r>
      <w:r/>
    </w:p>
    <w:p>
      <w:pPr>
        <w:pStyle w:val="971"/>
        <w:spacing w:after="0" w:line="360" w:lineRule="auto"/>
        <w:tabs>
          <w:tab w:val="right" w:pos="8867" w:leader="dot"/>
        </w:tabs>
        <w:rPr>
          <w:rFonts w:eastAsia="宋体" w:cs="宋体"/>
          <w:color w:val="auto"/>
          <w:highlight w:val="none"/>
        </w:rPr>
      </w:pPr>
      <w:r>
        <w:rPr>
          <w:color w:val="auto"/>
          <w:highlight w:val="none"/>
        </w:rPr>
        <w:fldChar w:fldCharType="begin"/>
      </w:r>
      <w:r>
        <w:rPr>
          <w:color w:val="auto"/>
          <w:highlight w:val="none"/>
        </w:rPr>
        <w:instrText xml:space="preserve"> HYPERLINK \l "_Toc29584" </w:instrText>
      </w:r>
      <w:r>
        <w:rPr>
          <w:color w:val="auto"/>
          <w:highlight w:val="none"/>
        </w:rPr>
        <w:fldChar w:fldCharType="separate"/>
      </w:r>
      <w:r>
        <w:rPr>
          <w:rFonts w:hint="eastAsia" w:eastAsia="宋体" w:cs="宋体"/>
          <w:color w:val="auto"/>
          <w:szCs w:val="36"/>
          <w:highlight w:val="none"/>
        </w:rPr>
        <w:t xml:space="preserve">第八章 投标文件组成及格式</w:t>
      </w:r>
      <w:r>
        <w:rPr>
          <w:rFonts w:hint="eastAsia" w:eastAsia="宋体" w:cs="宋体"/>
          <w:color w:val="auto"/>
          <w:highlight w:val="none"/>
        </w:rPr>
        <w:tab/>
      </w:r>
      <w:r>
        <w:rPr>
          <w:rFonts w:hint="eastAsia" w:eastAsia="宋体" w:cs="宋体"/>
          <w:color w:val="auto"/>
          <w:highlight w:val="none"/>
        </w:rPr>
        <w:t xml:space="preserve">4</w:t>
      </w:r>
      <w:r>
        <w:rPr>
          <w:rFonts w:hint="eastAsia" w:eastAsia="宋体" w:cs="宋体"/>
          <w:color w:val="auto"/>
          <w:highlight w:val="none"/>
        </w:rPr>
        <w:fldChar w:fldCharType="end"/>
      </w:r>
      <w:r>
        <w:rPr>
          <w:rFonts w:hint="eastAsia" w:eastAsia="宋体" w:cs="宋体"/>
          <w:color w:val="auto"/>
          <w:highlight w:val="none"/>
        </w:rPr>
        <w:t xml:space="preserve">5</w:t>
      </w:r>
      <w:r/>
    </w:p>
    <w:p>
      <w:pPr>
        <w:jc w:val="center"/>
        <w:spacing w:line="360" w:lineRule="auto"/>
        <w:tabs>
          <w:tab w:val="left" w:pos="1050" w:leader="none"/>
          <w:tab w:val="right" w:pos="9402" w:leader="dot"/>
        </w:tabs>
        <w:rPr>
          <w:rFonts w:eastAsia="宋体" w:cs="宋体"/>
          <w:b/>
          <w:color w:val="auto"/>
          <w:szCs w:val="36"/>
          <w:highlight w:val="none"/>
        </w:rPr>
      </w:pPr>
      <w:r>
        <w:rPr>
          <w:rFonts w:hint="eastAsia" w:eastAsia="宋体" w:cs="宋体"/>
          <w:color w:val="auto"/>
          <w:szCs w:val="36"/>
          <w:highlight w:val="none"/>
        </w:rPr>
        <w:fldChar w:fldCharType="end"/>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sectPr>
          <w:headerReference w:type="default" r:id="rId11"/>
          <w:footerReference w:type="default" r:id="rId17"/>
          <w:footnotePr/>
          <w:endnotePr/>
          <w:type w:val="nextPage"/>
          <w:pgSz w:w="11905" w:h="16838" w:orient="portrait"/>
          <w:pgMar w:top="1417" w:right="1701" w:bottom="1587" w:left="1701" w:header="850" w:footer="992" w:gutter="0"/>
          <w:pgNumType w:start="1"/>
          <w:cols w:num="1" w:sep="0" w:space="1701" w:equalWidth="1"/>
          <w:docGrid w:linePitch="360"/>
        </w:sectPr>
      </w:pPr>
      <w:r>
        <w:rPr>
          <w:rFonts w:eastAsia="宋体" w:cs="宋体"/>
          <w:color w:val="auto"/>
          <w:highlight w:val="none"/>
        </w:rPr>
      </w:r>
      <w:r/>
    </w:p>
    <w:p>
      <w:pPr>
        <w:jc w:val="center"/>
        <w:spacing w:line="360" w:lineRule="auto"/>
        <w:tabs>
          <w:tab w:val="left" w:pos="1050" w:leader="none"/>
          <w:tab w:val="right" w:pos="9402" w:leader="dot"/>
        </w:tabs>
        <w:rPr>
          <w:rFonts w:eastAsia="宋体" w:cs="宋体"/>
          <w:b/>
          <w:color w:val="auto"/>
          <w:sz w:val="36"/>
          <w:szCs w:val="36"/>
          <w:highlight w:val="none"/>
        </w:rPr>
        <w:outlineLvl w:val="0"/>
      </w:pPr>
      <w:r/>
      <w:bookmarkStart w:id="6" w:name="_Toc22769"/>
      <w:r/>
      <w:bookmarkStart w:id="7" w:name="_Toc30374"/>
      <w:r>
        <w:rPr>
          <w:rFonts w:hint="eastAsia" w:eastAsia="宋体" w:cs="宋体"/>
          <w:b/>
          <w:color w:val="auto"/>
          <w:sz w:val="36"/>
          <w:szCs w:val="36"/>
          <w:highlight w:val="none"/>
        </w:rPr>
        <w:t xml:space="preserve">第一章 招标公告</w:t>
      </w:r>
      <w:bookmarkEnd w:id="5"/>
      <w:r/>
      <w:bookmarkEnd w:id="6"/>
      <w:r/>
      <w:bookmarkEnd w:id="7"/>
      <w:r/>
      <w:r/>
    </w:p>
    <w:p>
      <w:pPr>
        <w:ind w:firstLine="480"/>
        <w:spacing w:line="360" w:lineRule="auto"/>
        <w:rPr>
          <w:rFonts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auto"/>
          <w:sz w:val="24"/>
          <w:szCs w:val="24"/>
          <w:highlight w:val="none"/>
        </w:rPr>
        <w:t xml:space="preserve">项目概况</w:t>
      </w:r>
      <w:r/>
    </w:p>
    <w:p>
      <w:pPr>
        <w:ind w:firstLine="480"/>
        <w:spacing w:line="360" w:lineRule="auto"/>
        <w:rPr>
          <w:rFonts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auto"/>
          <w:sz w:val="24"/>
          <w:szCs w:val="24"/>
          <w:highlight w:val="none"/>
          <w:u w:val="single"/>
        </w:rPr>
        <w:t xml:space="preserve">南通市医疗保障基金智能监管改革试点建设项目 </w:t>
      </w:r>
      <w:r>
        <w:rPr>
          <w:rFonts w:hint="eastAsia" w:eastAsia="宋体" w:cs="宋体"/>
          <w:bCs/>
          <w:color w:val="auto"/>
          <w:sz w:val="24"/>
          <w:szCs w:val="24"/>
          <w:highlight w:val="none"/>
        </w:rPr>
        <w:t xml:space="preserve">的潜在投标人应在</w:t>
      </w:r>
      <w:r>
        <w:rPr>
          <w:rFonts w:hint="eastAsia" w:eastAsia="宋体" w:cs="宋体"/>
          <w:bCs/>
          <w:color w:val="auto"/>
          <w:sz w:val="24"/>
          <w:szCs w:val="24"/>
          <w:highlight w:val="none"/>
          <w:u w:val="single"/>
        </w:rPr>
        <w:t xml:space="preserve">江苏政府采购网苏采云系统内</w:t>
      </w:r>
      <w:r>
        <w:rPr>
          <w:rFonts w:hint="eastAsia" w:eastAsia="宋体" w:cs="宋体"/>
          <w:bCs/>
          <w:color w:val="auto"/>
          <w:sz w:val="24"/>
          <w:szCs w:val="24"/>
          <w:highlight w:val="none"/>
        </w:rPr>
        <w:t xml:space="preserve">获取招标文件，并于</w:t>
      </w:r>
      <w:r>
        <w:rPr>
          <w:rFonts w:hint="eastAsia" w:eastAsia="宋体" w:cs="宋体"/>
          <w:bCs/>
          <w:color w:val="auto"/>
          <w:sz w:val="24"/>
          <w:szCs w:val="24"/>
          <w:highlight w:val="none"/>
          <w:u w:val="single"/>
        </w:rPr>
        <w:t xml:space="preserve">2025年</w:t>
      </w:r>
      <w:r>
        <w:rPr>
          <w:rFonts w:hint="eastAsia" w:eastAsia="宋体" w:cs="宋体"/>
          <w:bCs/>
          <w:color w:val="auto"/>
          <w:sz w:val="24"/>
          <w:szCs w:val="24"/>
          <w:highlight w:val="none"/>
          <w:u w:val="single"/>
          <w:lang w:val="en-US" w:eastAsia="zh-CN"/>
        </w:rPr>
        <w:t xml:space="preserve">12</w:t>
      </w:r>
      <w:r>
        <w:rPr>
          <w:rFonts w:hint="eastAsia" w:eastAsia="宋体" w:cs="宋体"/>
          <w:bCs/>
          <w:color w:val="auto"/>
          <w:sz w:val="24"/>
          <w:szCs w:val="24"/>
          <w:highlight w:val="none"/>
          <w:u w:val="single"/>
        </w:rPr>
        <w:t xml:space="preserve">月</w:t>
      </w:r>
      <w:r>
        <w:rPr>
          <w:rFonts w:hint="eastAsia" w:eastAsia="宋体" w:cs="宋体"/>
          <w:bCs/>
          <w:color w:val="auto"/>
          <w:sz w:val="24"/>
          <w:szCs w:val="24"/>
          <w:highlight w:val="none"/>
          <w:u w:val="single"/>
          <w:lang w:val="en-US" w:eastAsia="zh-CN"/>
        </w:rPr>
        <w:t xml:space="preserve">04</w:t>
      </w:r>
      <w:r>
        <w:rPr>
          <w:rFonts w:hint="eastAsia" w:eastAsia="宋体" w:cs="宋体"/>
          <w:bCs/>
          <w:color w:val="auto"/>
          <w:sz w:val="24"/>
          <w:szCs w:val="24"/>
          <w:highlight w:val="none"/>
          <w:u w:val="single"/>
        </w:rPr>
        <w:t xml:space="preserve">日09时00分</w:t>
      </w:r>
      <w:r>
        <w:rPr>
          <w:rFonts w:hint="eastAsia" w:eastAsia="宋体" w:cs="宋体"/>
          <w:bCs/>
          <w:color w:val="auto"/>
          <w:sz w:val="24"/>
          <w:szCs w:val="24"/>
          <w:highlight w:val="none"/>
        </w:rPr>
        <w:t xml:space="preserve">（北京时间）前递交投标文件。</w:t>
      </w:r>
      <w:r/>
    </w:p>
    <w:p>
      <w:pPr>
        <w:numPr>
          <w:ilvl w:val="0"/>
          <w:numId w:val="2"/>
        </w:numPr>
        <w:contextualSpacing/>
        <w:ind w:firstLine="482"/>
        <w:spacing w:line="360" w:lineRule="auto"/>
        <w:rPr>
          <w:rFonts w:eastAsia="宋体" w:cs="宋体"/>
          <w:bCs/>
          <w:color w:val="auto"/>
          <w:sz w:val="24"/>
          <w:szCs w:val="24"/>
          <w:highlight w:val="none"/>
        </w:rPr>
        <w:outlineLvl w:val="1"/>
      </w:pPr>
      <w:r/>
      <w:bookmarkStart w:id="8" w:name="_Toc3838"/>
      <w:r>
        <w:rPr>
          <w:rFonts w:hint="eastAsia" w:eastAsia="宋体" w:cs="宋体"/>
          <w:b/>
          <w:bCs/>
          <w:color w:val="auto"/>
          <w:sz w:val="24"/>
          <w:szCs w:val="24"/>
          <w:highlight w:val="none"/>
        </w:rPr>
        <w:t xml:space="preserve">项目基本情况</w:t>
      </w:r>
      <w:bookmarkEnd w:id="8"/>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1、项目编号：JSZC-320600-TDGW-G2025-0076</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2、项目名称：</w:t>
      </w:r>
      <w:bookmarkStart w:id="9" w:name="_Hlk104970923"/>
      <w:r>
        <w:rPr>
          <w:rFonts w:hint="eastAsia" w:eastAsia="宋体" w:cs="宋体"/>
          <w:color w:val="auto"/>
          <w:sz w:val="24"/>
          <w:szCs w:val="24"/>
          <w:highlight w:val="none"/>
        </w:rPr>
        <w:t xml:space="preserve">南通市医疗保障基金智能监管改革试点建设项目</w:t>
      </w:r>
      <w:bookmarkEnd w:id="9"/>
      <w:r/>
      <w:r/>
    </w:p>
    <w:p>
      <w:pPr>
        <w:ind w:firstLine="480"/>
        <w:spacing w:line="360" w:lineRule="auto"/>
        <w:rPr>
          <w:rFonts w:eastAsia="宋体" w:cs="宋体"/>
          <w:color w:val="auto"/>
          <w:sz w:val="24"/>
          <w:szCs w:val="24"/>
          <w:highlight w:val="none"/>
        </w:rPr>
      </w:pPr>
      <w:r/>
      <w:bookmarkStart w:id="10" w:name="_Toc387526169"/>
      <w:r/>
      <w:bookmarkStart w:id="11" w:name="_Toc387526273"/>
      <w:r/>
      <w:bookmarkStart w:id="12" w:name="_Toc387526365"/>
      <w:r/>
      <w:bookmarkStart w:id="13" w:name="_Toc20597"/>
      <w:r>
        <w:rPr>
          <w:rFonts w:hint="eastAsia" w:eastAsia="宋体" w:cs="宋体"/>
          <w:color w:val="auto"/>
          <w:sz w:val="24"/>
          <w:szCs w:val="24"/>
          <w:highlight w:val="none"/>
        </w:rPr>
        <w:t xml:space="preserve">3、项目类型：服务</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4、预算金额：114万元</w:t>
      </w:r>
      <w:r/>
    </w:p>
    <w:p>
      <w:pPr>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5、最高限价：114万元。投标报价超过最高限价为无效投标。</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6、项目需求：具体详见采购文件第三部分采购需求，请仔细研究。</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7、服务期限：</w:t>
      </w:r>
      <w:r>
        <w:rPr>
          <w:rFonts w:hint="eastAsia" w:eastAsia="宋体" w:cs="宋体"/>
          <w:bCs/>
          <w:color w:val="auto"/>
          <w:sz w:val="24"/>
          <w:szCs w:val="24"/>
          <w:highlight w:val="none"/>
        </w:rPr>
        <w:t xml:space="preserve">本项目总执行周期为12个月，包括6个月的开发建设与6个月的跟踪维护。项目最终验收合格后，供应商向采购人提供为期1年的免费运维服务。</w:t>
      </w:r>
      <w:bookmarkEnd w:id="10"/>
      <w:r/>
      <w:bookmarkEnd w:id="11"/>
      <w:r/>
      <w:bookmarkEnd w:id="12"/>
      <w:r/>
      <w:bookmarkEnd w:id="13"/>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8、本项目（是/否）接受联合体：否。</w:t>
      </w:r>
      <w:r/>
    </w:p>
    <w:p>
      <w:pPr>
        <w:contextualSpacing/>
        <w:ind w:firstLine="482"/>
        <w:spacing w:line="360" w:lineRule="auto"/>
        <w:rPr>
          <w:rFonts w:eastAsia="宋体" w:cs="宋体"/>
          <w:b/>
          <w:bCs/>
          <w:color w:val="auto"/>
          <w:sz w:val="24"/>
          <w:szCs w:val="24"/>
          <w:highlight w:val="none"/>
        </w:rPr>
        <w:outlineLvl w:val="1"/>
      </w:pPr>
      <w:r/>
      <w:bookmarkStart w:id="14" w:name="_Toc28765"/>
      <w:r>
        <w:rPr>
          <w:rFonts w:hint="eastAsia" w:eastAsia="宋体" w:cs="宋体"/>
          <w:b/>
          <w:bCs/>
          <w:color w:val="auto"/>
          <w:sz w:val="24"/>
          <w:szCs w:val="24"/>
          <w:highlight w:val="none"/>
        </w:rPr>
        <w:t xml:space="preserve">二、申请人的资格要求：</w:t>
      </w:r>
      <w:bookmarkEnd w:id="14"/>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1、满足《中华人民共和国政府采购法》第二十二条规定，提供</w:t>
      </w:r>
      <w:r>
        <w:rPr>
          <w:rFonts w:hint="eastAsia" w:eastAsia="宋体" w:cs="宋体"/>
          <w:bCs/>
          <w:color w:val="auto"/>
          <w:sz w:val="24"/>
          <w:szCs w:val="24"/>
          <w:highlight w:val="none"/>
        </w:rPr>
        <w:t xml:space="preserve">声明函</w:t>
      </w:r>
      <w:r>
        <w:rPr>
          <w:rFonts w:hint="eastAsia" w:eastAsia="宋体" w:cs="宋体"/>
          <w:color w:val="auto"/>
          <w:sz w:val="24"/>
          <w:szCs w:val="24"/>
          <w:highlight w:val="none"/>
        </w:rPr>
        <w:t xml:space="preserve">：</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（1）具有独立承担民事责任的能力；</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（2）具有良好的商业信誉和健全的财务会计制度；</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（3）具有履行合同所必需的设备和专业技术能力；</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（4）有依法缴纳税收和社会保障资金的良好记录；</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（5）参加政府采购活动前三年内，在经营活动中没有重大违法记录；</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（6）法律、行政法规规定的其他条件。</w:t>
      </w:r>
      <w:r/>
    </w:p>
    <w:p>
      <w:pPr>
        <w:ind w:firstLine="480"/>
        <w:spacing w:line="360" w:lineRule="auto"/>
        <w:rPr>
          <w:rFonts w:eastAsia="宋体" w:cs="宋体"/>
          <w:bCs/>
          <w:color w:val="auto"/>
          <w:sz w:val="24"/>
          <w:szCs w:val="24"/>
          <w:highlight w:val="none"/>
          <w:u w:val="single"/>
        </w:rPr>
      </w:pPr>
      <w:r>
        <w:rPr>
          <w:rFonts w:hint="eastAsia" w:eastAsia="宋体" w:cs="宋体"/>
          <w:bCs/>
          <w:color w:val="auto"/>
          <w:sz w:val="24"/>
          <w:szCs w:val="24"/>
          <w:highlight w:val="none"/>
        </w:rPr>
        <w:t xml:space="preserve">2、落实政府采购政策需满足的资格要求：</w:t>
      </w:r>
      <w:r>
        <w:rPr>
          <w:rFonts w:hint="eastAsia" w:eastAsia="宋体" w:cs="宋体"/>
          <w:bCs/>
          <w:color w:val="auto"/>
          <w:sz w:val="24"/>
          <w:szCs w:val="24"/>
          <w:highlight w:val="none"/>
          <w:u w:val="single"/>
        </w:rPr>
        <w:t xml:space="preserve">无 </w:t>
      </w:r>
      <w:r>
        <w:rPr>
          <w:rFonts w:hint="eastAsia" w:eastAsia="宋体" w:cs="宋体"/>
          <w:bCs/>
          <w:color w:val="auto"/>
          <w:sz w:val="24"/>
          <w:szCs w:val="24"/>
          <w:highlight w:val="none"/>
        </w:rPr>
        <w:t xml:space="preserve">。</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3、本项目的特定资格要求：</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（1）投标供应商具有独立承担民事责任能力，提供法人或者其他组织的营业执照等证明文件。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投标人法定代表人参加投标的，必须提供法定代表人身份证明及法定代表人本人身份证复印件；非法定代表人参加投标的，必须提供法定代表人签名或盖章的授权委托书及法定代表人和被授权人两个人的身份证复印件（格式参见第八章）。</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4、未被“信用中国”网站（www.creditchina.gov.cn）列入失信被执行人、重大税收违法案件当事人名单、政府采购严重失信行为记录名单；</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5、拒绝下述投标人参加本次采购活动：</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（1）投标人单位负责人为同一人或者存在直接控股、管理关系的不同投标人，不得参加同一合同项下的政府采购活动。</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（2）凡为采购项目提供整体设计、规范编制或者项目管理、监理、检测等服务的投标人，不得再参加本项目的采购活动。</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具体资格要求详见第八章中的“资格审查文件”。</w:t>
      </w:r>
      <w:r/>
    </w:p>
    <w:p>
      <w:pPr>
        <w:ind w:firstLine="482"/>
        <w:spacing w:line="360" w:lineRule="auto"/>
        <w:rPr>
          <w:rFonts w:eastAsia="宋体" w:cs="宋体"/>
          <w:b/>
          <w:color w:val="auto"/>
          <w:sz w:val="24"/>
          <w:szCs w:val="24"/>
          <w:highlight w:val="none"/>
        </w:rPr>
        <w:outlineLvl w:val="1"/>
      </w:pPr>
      <w:r/>
      <w:bookmarkStart w:id="15" w:name="_Toc23225"/>
      <w:r>
        <w:rPr>
          <w:rFonts w:hint="eastAsia" w:eastAsia="宋体" w:cs="宋体"/>
          <w:b/>
          <w:color w:val="auto"/>
          <w:sz w:val="24"/>
          <w:szCs w:val="24"/>
          <w:highlight w:val="none"/>
        </w:rPr>
        <w:t xml:space="preserve">三、获取招标文件</w:t>
      </w:r>
      <w:bookmarkEnd w:id="15"/>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1、时间：</w:t>
      </w:r>
      <w:r>
        <w:rPr>
          <w:rFonts w:hint="eastAsia" w:eastAsia="宋体" w:cs="宋体"/>
          <w:bCs/>
          <w:color w:val="auto"/>
          <w:sz w:val="24"/>
          <w:szCs w:val="24"/>
          <w:highlight w:val="none"/>
        </w:rPr>
        <w:t xml:space="preserve">自招标文件公告发布之日起5个工作日</w:t>
      </w:r>
      <w:r>
        <w:rPr>
          <w:rFonts w:hint="eastAsia" w:eastAsia="宋体" w:cs="宋体"/>
          <w:color w:val="auto"/>
          <w:sz w:val="24"/>
          <w:szCs w:val="24"/>
          <w:highlight w:val="none"/>
        </w:rPr>
        <w:t xml:space="preserve">。</w:t>
      </w:r>
      <w:r/>
    </w:p>
    <w:p>
      <w:pPr>
        <w:ind w:firstLine="480"/>
        <w:spacing w:line="360" w:lineRule="auto"/>
        <w:rPr>
          <w:rFonts w:eastAsia="宋体" w:cs="宋体"/>
          <w:bCs/>
          <w:color w:val="auto"/>
          <w:sz w:val="24"/>
          <w:szCs w:val="24"/>
          <w:highlight w:val="none"/>
        </w:rPr>
      </w:pPr>
      <w:r>
        <w:rPr>
          <w:rFonts w:hint="eastAsia" w:eastAsia="宋体" w:cs="宋体"/>
          <w:color w:val="auto"/>
          <w:sz w:val="24"/>
          <w:szCs w:val="24"/>
          <w:highlight w:val="none"/>
        </w:rPr>
        <w:t xml:space="preserve">2、地点：</w:t>
      </w:r>
      <w:r>
        <w:rPr>
          <w:rFonts w:hint="eastAsia" w:eastAsia="宋体" w:cs="宋体"/>
          <w:bCs/>
          <w:color w:val="auto"/>
          <w:sz w:val="24"/>
          <w:szCs w:val="24"/>
          <w:highlight w:val="none"/>
        </w:rPr>
        <w:t xml:space="preserve">网上注册登记成功后系统内下载。</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3、获取方式：本项目采用网上注册登记方式。</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3.1潜在供应商访问电子招标响应交易平台的网络地址和方法：</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3.2潜在供应商访问“苏采云”系统的网络地址和方法：“苏采云”系统的网址：http://jszfcg.jsczt.cn/。</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3.3“CA数字证书”的获取：</w:t>
      </w:r>
      <w:r/>
    </w:p>
    <w:p>
      <w:pPr>
        <w:ind w:firstLine="480"/>
        <w:spacing w:line="360" w:lineRule="auto"/>
        <w:rPr>
          <w:rFonts w:eastAsia="宋体" w:cs="宋体"/>
          <w:b/>
          <w:bCs/>
          <w:color w:val="auto"/>
          <w:sz w:val="24"/>
          <w:szCs w:val="24"/>
          <w:highlight w:val="none"/>
        </w:rPr>
      </w:pPr>
      <w:r>
        <w:rPr>
          <w:rFonts w:hint="eastAsia" w:eastAsia="宋体" w:cs="宋体"/>
          <w:color w:val="auto"/>
          <w:sz w:val="24"/>
          <w:szCs w:val="24"/>
          <w:highlight w:val="none"/>
        </w:rPr>
        <w:t xml:space="preserve">供应商需办理</w:t>
      </w:r>
      <w:r>
        <w:rPr>
          <w:rFonts w:hint="eastAsia" w:eastAsia="宋体" w:cs="宋体"/>
          <w:bCs/>
          <w:color w:val="auto"/>
          <w:sz w:val="24"/>
          <w:szCs w:val="24"/>
          <w:highlight w:val="none"/>
        </w:rPr>
        <w:t xml:space="preserve">“CA 数字证书”</w:t>
      </w:r>
      <w:r>
        <w:rPr>
          <w:rFonts w:hint="eastAsia" w:eastAsia="宋体" w:cs="宋体"/>
          <w:color w:val="auto"/>
          <w:sz w:val="24"/>
          <w:szCs w:val="24"/>
          <w:highlight w:val="none"/>
        </w:rPr>
        <w:t xml:space="preserve">。“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3.5招标人或招标代理机构（采购代理机构）将数据电文形式的采购文件加载至“苏采云”系统，供潜在供应商下载或者查阅。</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480"/>
        <w:spacing w:line="360" w:lineRule="auto"/>
        <w:rPr>
          <w:rFonts w:eastAsia="宋体" w:cs="宋体"/>
          <w:bCs/>
          <w:color w:val="auto"/>
          <w:sz w:val="24"/>
          <w:szCs w:val="24"/>
          <w:highlight w:val="none"/>
        </w:rPr>
      </w:pPr>
      <w:r>
        <w:rPr>
          <w:rFonts w:hint="eastAsia" w:eastAsia="宋体" w:cs="宋体"/>
          <w:color w:val="auto"/>
          <w:sz w:val="24"/>
          <w:szCs w:val="24"/>
          <w:highlight w:val="none"/>
        </w:rPr>
        <w:t xml:space="preserve">3.7</w:t>
      </w:r>
      <w:r>
        <w:rPr>
          <w:rFonts w:hint="eastAsia" w:eastAsia="宋体" w:cs="宋体"/>
          <w:bCs/>
          <w:color w:val="auto"/>
          <w:sz w:val="24"/>
          <w:szCs w:val="24"/>
          <w:highlight w:val="none"/>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注：如潜在供应商未按上述要求操作，将自行承担所产生的风险。</w:t>
      </w:r>
      <w:r/>
    </w:p>
    <w:p>
      <w:pPr>
        <w:ind w:firstLine="482"/>
        <w:spacing w:line="360" w:lineRule="auto"/>
        <w:rPr>
          <w:rFonts w:eastAsia="宋体" w:cs="宋体"/>
          <w:color w:val="auto"/>
          <w:sz w:val="24"/>
          <w:szCs w:val="24"/>
          <w:highlight w:val="none"/>
        </w:rPr>
        <w:outlineLvl w:val="1"/>
      </w:pPr>
      <w:r/>
      <w:bookmarkStart w:id="16" w:name="_Toc1834"/>
      <w:r>
        <w:rPr>
          <w:rFonts w:hint="eastAsia" w:eastAsia="宋体" w:cs="宋体"/>
          <w:b/>
          <w:color w:val="auto"/>
          <w:sz w:val="24"/>
          <w:szCs w:val="24"/>
          <w:highlight w:val="none"/>
        </w:rPr>
        <w:t xml:space="preserve">四、提交投标文件截止时间、开标时间和地点</w:t>
      </w:r>
      <w:bookmarkEnd w:id="16"/>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1、投标文件提交截止时间：</w:t>
      </w:r>
      <w:r>
        <w:rPr>
          <w:rFonts w:hint="eastAsia" w:eastAsia="宋体" w:cs="宋体"/>
          <w:bCs/>
          <w:color w:val="auto"/>
          <w:sz w:val="24"/>
          <w:szCs w:val="24"/>
          <w:highlight w:val="none"/>
          <w:u w:val="single"/>
        </w:rPr>
        <w:t xml:space="preserve">2025年</w:t>
      </w:r>
      <w:r>
        <w:rPr>
          <w:rFonts w:hint="eastAsia" w:eastAsia="宋体" w:cs="宋体"/>
          <w:bCs/>
          <w:color w:val="auto"/>
          <w:sz w:val="24"/>
          <w:szCs w:val="24"/>
          <w:highlight w:val="none"/>
          <w:u w:val="single"/>
          <w:lang w:val="en-US" w:eastAsia="zh-CN"/>
        </w:rPr>
        <w:t xml:space="preserve">12</w:t>
      </w:r>
      <w:r>
        <w:rPr>
          <w:rFonts w:hint="eastAsia" w:eastAsia="宋体" w:cs="宋体"/>
          <w:bCs/>
          <w:color w:val="auto"/>
          <w:sz w:val="24"/>
          <w:szCs w:val="24"/>
          <w:highlight w:val="none"/>
          <w:u w:val="single"/>
        </w:rPr>
        <w:t xml:space="preserve">月</w:t>
      </w:r>
      <w:r>
        <w:rPr>
          <w:rFonts w:hint="eastAsia" w:eastAsia="宋体" w:cs="宋体"/>
          <w:bCs/>
          <w:color w:val="auto"/>
          <w:sz w:val="24"/>
          <w:szCs w:val="24"/>
          <w:highlight w:val="none"/>
          <w:u w:val="single"/>
          <w:lang w:val="en-US" w:eastAsia="zh-CN"/>
        </w:rPr>
        <w:t xml:space="preserve">04</w:t>
      </w:r>
      <w:r>
        <w:rPr>
          <w:rFonts w:hint="eastAsia" w:eastAsia="宋体" w:cs="宋体"/>
          <w:bCs/>
          <w:color w:val="auto"/>
          <w:sz w:val="24"/>
          <w:szCs w:val="24"/>
          <w:highlight w:val="none"/>
          <w:u w:val="single"/>
        </w:rPr>
        <w:t xml:space="preserve">日09时00分</w:t>
      </w:r>
      <w:r>
        <w:rPr>
          <w:rFonts w:hint="eastAsia" w:eastAsia="宋体" w:cs="宋体"/>
          <w:color w:val="auto"/>
          <w:sz w:val="24"/>
          <w:szCs w:val="24"/>
          <w:highlight w:val="none"/>
        </w:rPr>
        <w:t xml:space="preserve">（北京时间）。逾时，“苏采云”系统将拒绝接受上传响应文件电子文档。</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2、线上开标地点：“苏采云”系统（网址：http://jszfcg.jsczt.cn/）“开标大厅”。</w:t>
      </w:r>
      <w:r/>
    </w:p>
    <w:p>
      <w:pPr>
        <w:ind w:firstLine="480"/>
        <w:spacing w:line="360" w:lineRule="auto"/>
        <w:rPr>
          <w:rFonts w:eastAsia="宋体" w:cs="宋体"/>
          <w:color w:val="auto"/>
          <w:sz w:val="24"/>
          <w:szCs w:val="24"/>
          <w:highlight w:val="none"/>
          <w:u w:val="single"/>
        </w:rPr>
      </w:pPr>
      <w:r>
        <w:rPr>
          <w:rFonts w:hint="eastAsia" w:eastAsia="宋体" w:cs="宋体"/>
          <w:color w:val="auto"/>
          <w:sz w:val="24"/>
          <w:szCs w:val="24"/>
          <w:highlight w:val="none"/>
        </w:rPr>
        <w:t xml:space="preserve">3、响应文件的解密：开标当天各供应商及时登录不见面开标大厅，响应文件递交截止时间后，招标人将在系统内公布投标供应商名单，然后通过开标会议区发出响应文件解密的指令，投标供应商在开标室按规定时间自行实施远程解密，</w:t>
      </w:r>
      <w:r>
        <w:rPr>
          <w:rFonts w:hint="eastAsia" w:eastAsia="宋体" w:cs="宋体"/>
          <w:b/>
          <w:color w:val="auto"/>
          <w:sz w:val="24"/>
          <w:szCs w:val="24"/>
          <w:highlight w:val="none"/>
        </w:rPr>
        <w:t xml:space="preserve">投标供应商解密限定在开标后30分钟之内完成</w:t>
      </w:r>
      <w:r>
        <w:rPr>
          <w:rFonts w:hint="eastAsia" w:eastAsia="宋体" w:cs="宋体"/>
          <w:color w:val="auto"/>
          <w:sz w:val="24"/>
          <w:szCs w:val="24"/>
          <w:highlight w:val="none"/>
        </w:rPr>
        <w:t xml:space="preserve">。</w:t>
      </w:r>
      <w:r>
        <w:rPr>
          <w:rFonts w:hint="eastAsia" w:eastAsia="宋体" w:cs="宋体"/>
          <w:color w:val="auto"/>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招标人（或采购代理机构）原因或网上招投标平台发生故障，导致无法按时完成响应文件解密或开、评标工作无法进行的，可根据实际情况相应延迟解密时间或调整开、评标时间。</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注：各供应商请关注开标大厅交流区，在开标结束后，请勿离开开标大厅。</w:t>
      </w:r>
      <w:r/>
    </w:p>
    <w:p>
      <w:pPr>
        <w:ind w:firstLine="482"/>
        <w:spacing w:line="360" w:lineRule="auto"/>
        <w:rPr>
          <w:rFonts w:eastAsia="宋体" w:cs="宋体"/>
          <w:b/>
          <w:color w:val="auto"/>
          <w:sz w:val="24"/>
          <w:szCs w:val="24"/>
          <w:highlight w:val="none"/>
        </w:rPr>
        <w:outlineLvl w:val="1"/>
      </w:pPr>
      <w:r/>
      <w:bookmarkStart w:id="17" w:name="_Toc14969"/>
      <w:r>
        <w:rPr>
          <w:rFonts w:hint="eastAsia" w:eastAsia="宋体" w:cs="宋体"/>
          <w:b/>
          <w:color w:val="auto"/>
          <w:sz w:val="24"/>
          <w:szCs w:val="24"/>
          <w:highlight w:val="none"/>
        </w:rPr>
        <w:t xml:space="preserve">五、公告期限</w:t>
      </w:r>
      <w:bookmarkEnd w:id="17"/>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自本公告发布之日起5个工作日。</w:t>
      </w:r>
      <w:r/>
    </w:p>
    <w:p>
      <w:pPr>
        <w:contextualSpacing/>
        <w:ind w:firstLine="482"/>
        <w:spacing w:line="360" w:lineRule="auto"/>
        <w:rPr>
          <w:rFonts w:eastAsia="宋体" w:cs="宋体"/>
          <w:b/>
          <w:bCs/>
          <w:color w:val="auto"/>
          <w:sz w:val="24"/>
          <w:szCs w:val="24"/>
          <w:highlight w:val="none"/>
        </w:rPr>
        <w:outlineLvl w:val="1"/>
      </w:pPr>
      <w:r/>
      <w:bookmarkStart w:id="18" w:name="_Toc17689"/>
      <w:r>
        <w:rPr>
          <w:rFonts w:hint="eastAsia" w:eastAsia="宋体" w:cs="宋体"/>
          <w:b/>
          <w:color w:val="auto"/>
          <w:sz w:val="24"/>
          <w:szCs w:val="24"/>
          <w:highlight w:val="none"/>
        </w:rPr>
        <w:t xml:space="preserve">六、其他补充事宜</w:t>
      </w:r>
      <w:bookmarkEnd w:id="18"/>
      <w:r/>
      <w:r/>
    </w:p>
    <w:p>
      <w:pPr>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1、投标保证金：免收；本项目招标文件中涉及投标保证金的事项，均按免收投标保证金执行。</w:t>
      </w:r>
      <w:r/>
    </w:p>
    <w:p>
      <w:pPr>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2、项目开标活动模式：不见面远程投标模式，供应商在各自地点通过不见面交易系统参加开标会。</w:t>
      </w:r>
      <w:r/>
    </w:p>
    <w:p>
      <w:pPr>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3、项目演示、样品、答辩等（如有请描述）：无。</w:t>
      </w:r>
      <w:r/>
    </w:p>
    <w:p>
      <w:pPr>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4、对项目需求部分（投标人其他资格</w:t>
      </w:r>
      <w:r>
        <w:rPr>
          <w:rFonts w:hint="eastAsia" w:eastAsia="宋体" w:cs="宋体"/>
          <w:color w:val="auto"/>
          <w:sz w:val="24"/>
          <w:szCs w:val="24"/>
          <w:highlight w:val="none"/>
        </w:rPr>
        <w:t xml:space="preserve">要求</w:t>
      </w:r>
      <w:r>
        <w:rPr>
          <w:rFonts w:hint="eastAsia" w:eastAsia="宋体" w:cs="宋体"/>
          <w:bCs/>
          <w:color w:val="auto"/>
          <w:sz w:val="24"/>
          <w:szCs w:val="24"/>
          <w:highlight w:val="none"/>
        </w:rPr>
        <w:t xml:space="preserve">、项目需求、评分标准）的询问、质疑请向招标人提出，由招标人负责答复；对项目招标文件其它部分的询问请向招标人或招标代理提出。</w:t>
      </w:r>
      <w:r/>
    </w:p>
    <w:p>
      <w:pPr>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6、本次招标的有关信息将在江苏政府采购网上发布，敬请留意。</w:t>
      </w:r>
      <w:r/>
    </w:p>
    <w:p>
      <w:pPr>
        <w:contextualSpacing/>
        <w:ind w:firstLine="482"/>
        <w:spacing w:line="360" w:lineRule="auto"/>
        <w:rPr>
          <w:rFonts w:eastAsia="宋体" w:cs="宋体"/>
          <w:b/>
          <w:bCs/>
          <w:color w:val="auto"/>
          <w:sz w:val="24"/>
          <w:szCs w:val="24"/>
          <w:highlight w:val="none"/>
        </w:rPr>
        <w:outlineLvl w:val="1"/>
      </w:pPr>
      <w:r/>
      <w:bookmarkStart w:id="19" w:name="_Toc3136"/>
      <w:r>
        <w:rPr>
          <w:rFonts w:hint="eastAsia" w:eastAsia="宋体" w:cs="宋体"/>
          <w:b/>
          <w:bCs/>
          <w:color w:val="auto"/>
          <w:sz w:val="24"/>
          <w:szCs w:val="24"/>
          <w:highlight w:val="none"/>
        </w:rPr>
        <w:t xml:space="preserve">七、对本次招标提出询问，请按以下方式联系。</w:t>
      </w:r>
      <w:bookmarkEnd w:id="19"/>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1、招标人信息</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招标人：南通市医疗保障局</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地址： </w:t>
      </w:r>
      <w:bookmarkStart w:id="20" w:name="OLE_LINK3"/>
      <w:r>
        <w:rPr>
          <w:rFonts w:hint="eastAsia" w:eastAsia="宋体" w:cs="宋体"/>
          <w:color w:val="auto"/>
          <w:sz w:val="24"/>
          <w:szCs w:val="24"/>
          <w:highlight w:val="none"/>
        </w:rPr>
        <w:t xml:space="preserve">南通市崇川区工农南路150号</w:t>
      </w:r>
      <w:bookmarkEnd w:id="20"/>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联系人：</w:t>
      </w:r>
      <w:bookmarkStart w:id="21" w:name="OLE_LINK1"/>
      <w:r>
        <w:rPr>
          <w:rFonts w:hint="eastAsia" w:eastAsia="宋体" w:cs="宋体"/>
          <w:color w:val="auto"/>
          <w:sz w:val="24"/>
          <w:szCs w:val="24"/>
          <w:highlight w:val="none"/>
        </w:rPr>
        <w:t xml:space="preserve">刘女士</w:t>
      </w:r>
      <w:bookmarkEnd w:id="21"/>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联系方式：</w:t>
      </w:r>
      <w:bookmarkStart w:id="22" w:name="OLE_LINK2"/>
      <w:r>
        <w:rPr>
          <w:rFonts w:hint="eastAsia" w:eastAsia="宋体" w:cs="宋体"/>
          <w:color w:val="auto"/>
          <w:sz w:val="24"/>
          <w:szCs w:val="24"/>
          <w:highlight w:val="none"/>
        </w:rPr>
        <w:t xml:space="preserve">0513-59001651</w:t>
      </w:r>
      <w:bookmarkEnd w:id="22"/>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2、招标代理机构信息</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名称：宏信天德工程顾问有限公司</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地址：南通市崇川区北大街108号金域商业中心1幢8楼北区</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联系人：董安国         </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联系电话：</w:t>
      </w:r>
      <w:bookmarkStart w:id="23" w:name="OLE_LINK4"/>
      <w:r>
        <w:rPr>
          <w:rFonts w:hint="eastAsia" w:eastAsia="宋体" w:cs="宋体"/>
          <w:color w:val="auto"/>
          <w:sz w:val="24"/>
          <w:szCs w:val="24"/>
          <w:highlight w:val="none"/>
        </w:rPr>
        <w:t xml:space="preserve">18912299056</w:t>
      </w:r>
      <w:bookmarkEnd w:id="23"/>
      <w:r>
        <w:rPr>
          <w:rFonts w:hint="eastAsia" w:eastAsia="宋体" w:cs="宋体"/>
          <w:color w:val="auto"/>
          <w:sz w:val="24"/>
          <w:szCs w:val="24"/>
          <w:highlight w:val="none"/>
        </w:rPr>
        <w:t xml:space="preserve">  </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3、项目联系方式</w:t>
      </w:r>
      <w:r/>
    </w:p>
    <w:p>
      <w:pPr>
        <w:ind w:firstLine="480"/>
        <w:spacing w:line="360" w:lineRule="auto"/>
        <w:rPr>
          <w:rFonts w:eastAsia="宋体" w:cs="宋体"/>
          <w:color w:val="auto"/>
          <w:sz w:val="24"/>
          <w:szCs w:val="24"/>
          <w:highlight w:val="none"/>
        </w:rPr>
      </w:pPr>
      <w:r/>
      <w:bookmarkStart w:id="24" w:name="_Toc363573854"/>
      <w:r>
        <w:rPr>
          <w:rFonts w:hint="eastAsia" w:eastAsia="宋体" w:cs="宋体"/>
          <w:color w:val="auto"/>
          <w:sz w:val="24"/>
          <w:szCs w:val="24"/>
          <w:highlight w:val="none"/>
        </w:rPr>
        <w:t xml:space="preserve">项目联系人：董安国</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电话：18912299056</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邮箱：</w:t>
      </w:r>
      <w:r>
        <w:rPr>
          <w:rFonts w:hint="eastAsia"/>
          <w:color w:val="auto"/>
          <w:highlight w:val="none"/>
        </w:rPr>
        <w:fldChar w:fldCharType="begin"/>
      </w:r>
      <w:r>
        <w:rPr>
          <w:color w:val="auto"/>
          <w:highlight w:val="none"/>
        </w:rPr>
        <w:instrText xml:space="preserve"> HYPERLINK "mailto:812298892@qq.com" \o "mailto:812298892@qq.com" </w:instrText>
      </w:r>
      <w:r>
        <w:rPr>
          <w:rFonts w:hint="eastAsia"/>
          <w:color w:val="auto"/>
          <w:highlight w:val="none"/>
        </w:rPr>
        <w:fldChar w:fldCharType="separate"/>
      </w:r>
      <w:r>
        <w:rPr>
          <w:rFonts w:hint="eastAsia" w:eastAsia="宋体" w:cs="宋体"/>
          <w:color w:val="auto"/>
          <w:sz w:val="24"/>
          <w:szCs w:val="24"/>
          <w:highlight w:val="none"/>
        </w:rPr>
        <w:t xml:space="preserve">812298892@qq.com</w:t>
      </w:r>
      <w:r>
        <w:rPr>
          <w:rFonts w:hint="eastAsia" w:eastAsia="宋体" w:cs="宋体"/>
          <w:color w:val="auto"/>
          <w:sz w:val="24"/>
          <w:szCs w:val="24"/>
          <w:highlight w:val="none"/>
        </w:rPr>
        <w:fldChar w:fldCharType="end"/>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4、软件技术支持：0519-86722801。</w:t>
      </w:r>
      <w:r/>
    </w:p>
    <w:p>
      <w:pPr>
        <w:spacing w:line="360" w:lineRule="auto"/>
        <w:rPr>
          <w:rFonts w:eastAsia="宋体" w:cs="宋体"/>
          <w:color w:val="auto"/>
          <w:highlight w:val="none"/>
        </w:rPr>
      </w:pPr>
      <w:r>
        <w:rPr>
          <w:rFonts w:hint="eastAsia" w:eastAsia="宋体" w:cs="宋体"/>
          <w:color w:val="auto"/>
          <w:highlight w:val="none"/>
        </w:rPr>
        <w:br w:type="page" w:clear="all"/>
      </w:r>
      <w:r/>
    </w:p>
    <w:p>
      <w:pPr>
        <w:jc w:val="center"/>
        <w:spacing w:line="360" w:lineRule="auto"/>
        <w:tabs>
          <w:tab w:val="left" w:pos="1050" w:leader="none"/>
          <w:tab w:val="right" w:pos="9402" w:leader="dot"/>
        </w:tabs>
        <w:rPr>
          <w:rFonts w:eastAsia="宋体" w:cs="宋体"/>
          <w:b/>
          <w:bCs/>
          <w:color w:val="auto"/>
          <w:sz w:val="36"/>
          <w:szCs w:val="36"/>
          <w:highlight w:val="none"/>
        </w:rPr>
        <w:outlineLvl w:val="0"/>
      </w:pPr>
      <w:r/>
      <w:bookmarkStart w:id="25" w:name="_Toc7477"/>
      <w:r/>
      <w:bookmarkStart w:id="26" w:name="_Toc17316"/>
      <w:r>
        <w:rPr>
          <w:rFonts w:hint="eastAsia" w:eastAsia="宋体" w:cs="宋体"/>
          <w:b/>
          <w:color w:val="auto"/>
          <w:sz w:val="36"/>
          <w:szCs w:val="36"/>
          <w:highlight w:val="none"/>
        </w:rPr>
        <w:t xml:space="preserve">第二章 投标人须知</w:t>
      </w:r>
      <w:bookmarkEnd w:id="24"/>
      <w:r/>
      <w:bookmarkEnd w:id="25"/>
      <w:r/>
      <w:bookmarkEnd w:id="26"/>
      <w:r/>
      <w:bookmarkStart w:id="27" w:name="_Toc363573855"/>
      <w:r/>
      <w:r/>
    </w:p>
    <w:p>
      <w:pPr>
        <w:ind w:firstLine="482"/>
        <w:spacing w:line="360" w:lineRule="auto"/>
        <w:rPr>
          <w:rFonts w:eastAsia="宋体" w:cs="宋体"/>
          <w:b/>
          <w:color w:val="auto"/>
          <w:sz w:val="24"/>
          <w:szCs w:val="24"/>
          <w:highlight w:val="none"/>
        </w:rPr>
        <w:outlineLvl w:val="1"/>
      </w:pPr>
      <w:r/>
      <w:bookmarkStart w:id="28" w:name="_Toc28958"/>
      <w:r>
        <w:rPr>
          <w:rFonts w:hint="eastAsia" w:eastAsia="宋体" w:cs="宋体"/>
          <w:b/>
          <w:color w:val="auto"/>
          <w:sz w:val="24"/>
          <w:szCs w:val="24"/>
          <w:highlight w:val="none"/>
        </w:rPr>
        <w:t xml:space="preserve">一、总则</w:t>
      </w:r>
      <w:bookmarkEnd w:id="28"/>
      <w:r/>
      <w:r/>
    </w:p>
    <w:p>
      <w:pPr>
        <w:contextualSpacing/>
        <w:ind w:firstLine="482"/>
        <w:spacing w:line="360" w:lineRule="auto"/>
        <w:rPr>
          <w:rFonts w:eastAsia="宋体" w:cs="宋体"/>
          <w:b/>
          <w:bCs/>
          <w:color w:val="auto"/>
          <w:sz w:val="24"/>
          <w:szCs w:val="24"/>
          <w:highlight w:val="none"/>
        </w:rPr>
      </w:pPr>
      <w:r>
        <w:rPr>
          <w:rFonts w:hint="eastAsia" w:eastAsia="宋体" w:cs="宋体"/>
          <w:color w:val="auto"/>
          <w:sz w:val="24"/>
          <w:szCs w:val="24"/>
          <w:highlight w:val="none"/>
        </w:rPr>
        <w:t xml:space="preserve">1.招标方式</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1.1本次招标采取公开招标方式，本招标文件仅适用于招标公告中所述项目。</w:t>
      </w:r>
      <w:r/>
    </w:p>
    <w:p>
      <w:pPr>
        <w:contextualSpacing/>
        <w:ind w:firstLine="482"/>
        <w:spacing w:line="360" w:lineRule="auto"/>
        <w:rPr>
          <w:rFonts w:eastAsia="宋体" w:cs="宋体"/>
          <w:b/>
          <w:bCs/>
          <w:color w:val="auto"/>
          <w:sz w:val="24"/>
          <w:szCs w:val="24"/>
          <w:highlight w:val="none"/>
        </w:rPr>
      </w:pPr>
      <w:r>
        <w:rPr>
          <w:rFonts w:hint="eastAsia" w:eastAsia="宋体" w:cs="宋体"/>
          <w:color w:val="auto"/>
          <w:sz w:val="24"/>
          <w:szCs w:val="24"/>
          <w:highlight w:val="none"/>
        </w:rPr>
        <w:t xml:space="preserve">2.合格的投标人</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2.1满足招标公告中投标人的资格要求的规定。</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2.2 满足本文件实质性要求和条件的规定。</w:t>
      </w:r>
      <w:r/>
    </w:p>
    <w:p>
      <w:pPr>
        <w:contextualSpacing/>
        <w:ind w:firstLine="482"/>
        <w:spacing w:line="360" w:lineRule="auto"/>
        <w:rPr>
          <w:rFonts w:eastAsia="宋体" w:cs="宋体"/>
          <w:b/>
          <w:bCs/>
          <w:color w:val="auto"/>
          <w:sz w:val="24"/>
          <w:szCs w:val="24"/>
          <w:highlight w:val="none"/>
        </w:rPr>
      </w:pPr>
      <w:r>
        <w:rPr>
          <w:rFonts w:hint="eastAsia" w:eastAsia="宋体" w:cs="宋体"/>
          <w:color w:val="auto"/>
          <w:sz w:val="24"/>
          <w:szCs w:val="24"/>
          <w:highlight w:val="none"/>
        </w:rPr>
        <w:t xml:space="preserve">3.适用法律</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3.1本次招标及由此产生的合同受中华人民共和国有关的法律法规制约和保护。</w:t>
      </w:r>
      <w:r/>
    </w:p>
    <w:p>
      <w:pPr>
        <w:contextualSpacing/>
        <w:ind w:firstLine="482"/>
        <w:spacing w:line="360" w:lineRule="auto"/>
        <w:rPr>
          <w:rFonts w:eastAsia="宋体" w:cs="宋体"/>
          <w:b/>
          <w:bCs/>
          <w:color w:val="auto"/>
          <w:sz w:val="24"/>
          <w:szCs w:val="24"/>
          <w:highlight w:val="none"/>
        </w:rPr>
      </w:pPr>
      <w:r>
        <w:rPr>
          <w:rFonts w:hint="eastAsia" w:eastAsia="宋体" w:cs="宋体"/>
          <w:color w:val="auto"/>
          <w:sz w:val="24"/>
          <w:szCs w:val="24"/>
          <w:highlight w:val="none"/>
        </w:rPr>
        <w:t xml:space="preserve">4.投标费用</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4.1投标人应自行承担所有与参加投标有关的费用，无论投标过程中的做法和结果如何，招标人及代理机构在任何情况下均无义务和责任承担这些费用。</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4.2本项目向中标人收取招标代理服务费，招标代理服务费的收费标准按计价格［2002］1980号《招标代理服务收费管理暂行办法》所规定的收费标准计算。</w:t>
      </w:r>
      <w:r/>
    </w:p>
    <w:p>
      <w:pPr>
        <w:contextualSpacing/>
        <w:ind w:firstLine="482"/>
        <w:spacing w:line="360" w:lineRule="auto"/>
        <w:rPr>
          <w:rFonts w:eastAsia="宋体" w:cs="宋体"/>
          <w:b/>
          <w:bCs/>
          <w:color w:val="auto"/>
          <w:sz w:val="24"/>
          <w:szCs w:val="24"/>
          <w:highlight w:val="none"/>
        </w:rPr>
      </w:pPr>
      <w:r>
        <w:rPr>
          <w:rFonts w:hint="eastAsia" w:eastAsia="宋体" w:cs="宋体"/>
          <w:color w:val="auto"/>
          <w:sz w:val="24"/>
          <w:szCs w:val="24"/>
          <w:highlight w:val="none"/>
        </w:rPr>
        <w:t xml:space="preserve">5.招标文件的约束力</w:t>
      </w:r>
      <w:r/>
    </w:p>
    <w:p>
      <w:pPr>
        <w:contextualSpacing/>
        <w:ind w:firstLine="482"/>
        <w:spacing w:line="360" w:lineRule="auto"/>
        <w:rPr>
          <w:rFonts w:eastAsia="宋体" w:cs="宋体"/>
          <w:color w:val="auto"/>
          <w:sz w:val="24"/>
          <w:szCs w:val="24"/>
          <w:highlight w:val="none"/>
        </w:rPr>
      </w:pPr>
      <w:r>
        <w:rPr>
          <w:rFonts w:hint="eastAsia" w:eastAsia="宋体" w:cs="宋体"/>
          <w:bCs/>
          <w:color w:val="auto"/>
          <w:sz w:val="24"/>
          <w:szCs w:val="24"/>
          <w:highlight w:val="none"/>
        </w:rPr>
        <w:t xml:space="preserve">5.1</w:t>
      </w:r>
      <w:r>
        <w:rPr>
          <w:rFonts w:hint="eastAsia" w:eastAsia="宋体" w:cs="宋体"/>
          <w:color w:val="auto"/>
          <w:sz w:val="24"/>
          <w:szCs w:val="24"/>
          <w:highlight w:val="none"/>
        </w:rPr>
        <w:t xml:space="preserve">投标人一旦参加本项目采购活动，即被认为接受了本招标文件的规定和约束。</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6.招标文件的解释</w:t>
      </w:r>
      <w:r/>
    </w:p>
    <w:p>
      <w:pPr>
        <w:contextualSpacing/>
        <w:ind w:firstLine="482"/>
        <w:spacing w:line="360" w:lineRule="auto"/>
        <w:rPr>
          <w:rFonts w:eastAsia="宋体" w:cs="宋体"/>
          <w:color w:val="auto"/>
          <w:sz w:val="24"/>
          <w:szCs w:val="24"/>
          <w:highlight w:val="none"/>
        </w:rPr>
      </w:pPr>
      <w:r>
        <w:rPr>
          <w:rFonts w:hint="eastAsia" w:eastAsia="宋体" w:cs="宋体"/>
          <w:bCs/>
          <w:color w:val="auto"/>
          <w:sz w:val="24"/>
          <w:szCs w:val="24"/>
          <w:highlight w:val="none"/>
        </w:rPr>
        <w:t xml:space="preserve">6.1</w:t>
      </w:r>
      <w:r>
        <w:rPr>
          <w:rFonts w:hint="eastAsia" w:eastAsia="宋体" w:cs="宋体"/>
          <w:color w:val="auto"/>
          <w:sz w:val="24"/>
          <w:szCs w:val="24"/>
          <w:highlight w:val="none"/>
        </w:rPr>
        <w:t xml:space="preserve">招标文件需求部分（投标人资格要求、项目需求、商务技术评分标准）由招标人解释，其它部分由招标代理机构解释。</w:t>
      </w:r>
      <w:r/>
    </w:p>
    <w:p>
      <w:pPr>
        <w:contextualSpacing/>
        <w:ind w:firstLine="480"/>
        <w:spacing w:line="360" w:lineRule="auto"/>
        <w:rPr>
          <w:rFonts w:eastAsia="宋体" w:cs="宋体"/>
          <w:b/>
          <w:bCs/>
          <w:color w:val="auto"/>
          <w:sz w:val="24"/>
          <w:szCs w:val="24"/>
          <w:highlight w:val="none"/>
        </w:rPr>
        <w:outlineLvl w:val="1"/>
      </w:pPr>
      <w:r/>
      <w:bookmarkStart w:id="29" w:name="_Toc16177"/>
      <w:r>
        <w:rPr>
          <w:rFonts w:hint="eastAsia" w:eastAsia="宋体" w:cs="宋体"/>
          <w:b/>
          <w:bCs/>
          <w:color w:val="auto"/>
          <w:sz w:val="24"/>
          <w:szCs w:val="24"/>
          <w:highlight w:val="none"/>
        </w:rPr>
        <w:t xml:space="preserve">二、招标文件</w:t>
      </w:r>
      <w:bookmarkEnd w:id="29"/>
      <w:r/>
      <w:r/>
    </w:p>
    <w:p>
      <w:pPr>
        <w:contextualSpacing/>
        <w:ind w:firstLine="482"/>
        <w:spacing w:line="360" w:lineRule="auto"/>
        <w:rPr>
          <w:rFonts w:eastAsia="宋体" w:cs="宋体"/>
          <w:b/>
          <w:bCs/>
          <w:color w:val="auto"/>
          <w:sz w:val="24"/>
          <w:szCs w:val="24"/>
          <w:highlight w:val="none"/>
        </w:rPr>
      </w:pPr>
      <w:r>
        <w:rPr>
          <w:rFonts w:hint="eastAsia" w:eastAsia="宋体" w:cs="宋体"/>
          <w:color w:val="auto"/>
          <w:sz w:val="24"/>
          <w:szCs w:val="24"/>
          <w:highlight w:val="none"/>
        </w:rPr>
        <w:t xml:space="preserve">1.招标文件构成</w:t>
      </w:r>
      <w:r/>
    </w:p>
    <w:p>
      <w:pPr>
        <w:contextualSpacing/>
        <w:ind w:firstLine="482"/>
        <w:spacing w:line="360" w:lineRule="auto"/>
        <w:rPr>
          <w:rFonts w:eastAsia="宋体" w:cs="宋体"/>
          <w:color w:val="auto"/>
          <w:sz w:val="24"/>
          <w:szCs w:val="24"/>
          <w:highlight w:val="none"/>
        </w:rPr>
      </w:pPr>
      <w:r>
        <w:rPr>
          <w:rFonts w:hint="eastAsia" w:eastAsia="宋体" w:cs="宋体"/>
          <w:bCs/>
          <w:color w:val="auto"/>
          <w:sz w:val="24"/>
          <w:szCs w:val="24"/>
          <w:highlight w:val="none"/>
        </w:rPr>
        <w:t xml:space="preserve">1.1</w:t>
      </w:r>
      <w:r>
        <w:rPr>
          <w:rFonts w:hint="eastAsia" w:eastAsia="宋体" w:cs="宋体"/>
          <w:color w:val="auto"/>
          <w:sz w:val="24"/>
          <w:szCs w:val="24"/>
          <w:highlight w:val="none"/>
        </w:rPr>
        <w:t xml:space="preserve"> 招标文件由以下部分组成：</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（1）招标公告</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（2）投标人须知</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（3）项目需求</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（4）评审方法和评审标准</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（5）合同主要条款</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（6）合同授予</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（7）质疑与投诉</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（8）投标文件组成及格式</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请仔细检查招标文件是否齐全，如有缺漏请立即与</w:t>
      </w:r>
      <w:r>
        <w:rPr>
          <w:rFonts w:hint="eastAsia" w:eastAsia="宋体" w:cs="宋体"/>
          <w:bCs/>
          <w:color w:val="auto"/>
          <w:sz w:val="24"/>
          <w:szCs w:val="24"/>
          <w:highlight w:val="none"/>
        </w:rPr>
        <w:t xml:space="preserve">招标人或招标代理机构</w:t>
      </w:r>
      <w:r>
        <w:rPr>
          <w:rFonts w:hint="eastAsia" w:eastAsia="宋体" w:cs="宋体"/>
          <w:color w:val="auto"/>
          <w:sz w:val="24"/>
          <w:szCs w:val="24"/>
          <w:highlight w:val="none"/>
        </w:rPr>
        <w:t xml:space="preserve">联系解决。</w:t>
      </w:r>
      <w:r/>
    </w:p>
    <w:p>
      <w:pPr>
        <w:contextualSpacing/>
        <w:ind w:firstLine="482"/>
        <w:spacing w:line="360" w:lineRule="auto"/>
        <w:rPr>
          <w:rFonts w:eastAsia="宋体" w:cs="宋体"/>
          <w:color w:val="auto"/>
          <w:sz w:val="24"/>
          <w:szCs w:val="24"/>
          <w:highlight w:val="none"/>
        </w:rPr>
      </w:pPr>
      <w:r>
        <w:rPr>
          <w:rFonts w:hint="eastAsia" w:eastAsia="宋体" w:cs="宋体"/>
          <w:bCs/>
          <w:color w:val="auto"/>
          <w:sz w:val="24"/>
          <w:szCs w:val="24"/>
          <w:highlight w:val="none"/>
        </w:rPr>
        <w:t xml:space="preserve">1.2</w:t>
      </w:r>
      <w:r>
        <w:rPr>
          <w:rFonts w:hint="eastAsia"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spacing w:line="360" w:lineRule="auto"/>
        <w:rPr>
          <w:rFonts w:eastAsia="宋体" w:cs="宋体"/>
          <w:b/>
          <w:bCs/>
          <w:color w:val="auto"/>
          <w:sz w:val="24"/>
          <w:szCs w:val="24"/>
          <w:highlight w:val="none"/>
        </w:rPr>
      </w:pPr>
      <w:r>
        <w:rPr>
          <w:rFonts w:hint="eastAsia" w:eastAsia="宋体" w:cs="宋体"/>
          <w:color w:val="auto"/>
          <w:sz w:val="24"/>
          <w:szCs w:val="24"/>
          <w:highlight w:val="none"/>
        </w:rPr>
        <w:t xml:space="preserve">2.招标文件的澄清</w:t>
      </w:r>
      <w:r/>
    </w:p>
    <w:p>
      <w:pPr>
        <w:contextualSpacing/>
        <w:ind w:firstLine="482"/>
        <w:spacing w:line="360" w:lineRule="auto"/>
        <w:rPr>
          <w:rFonts w:eastAsia="宋体" w:cs="宋体"/>
          <w:color w:val="auto"/>
          <w:sz w:val="24"/>
          <w:szCs w:val="24"/>
          <w:highlight w:val="none"/>
        </w:rPr>
      </w:pPr>
      <w:r>
        <w:rPr>
          <w:rFonts w:hint="eastAsia" w:eastAsia="宋体" w:cs="宋体"/>
          <w:bCs/>
          <w:color w:val="auto"/>
          <w:sz w:val="24"/>
          <w:szCs w:val="24"/>
          <w:highlight w:val="none"/>
        </w:rPr>
        <w:t xml:space="preserve">2.1</w:t>
      </w:r>
      <w:r>
        <w:rPr>
          <w:rFonts w:hint="eastAsia" w:eastAsia="宋体" w:cs="宋体"/>
          <w:color w:val="auto"/>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2.2</w:t>
      </w:r>
      <w:r>
        <w:rPr>
          <w:rFonts w:hint="eastAsia" w:eastAsia="宋体" w:cs="宋体"/>
          <w:bCs/>
          <w:color w:val="auto"/>
          <w:sz w:val="24"/>
          <w:szCs w:val="24"/>
          <w:highlight w:val="none"/>
        </w:rPr>
        <w:t xml:space="preserve">招标人</w:t>
      </w:r>
      <w:r>
        <w:rPr>
          <w:rFonts w:hint="eastAsia" w:eastAsia="宋体" w:cs="宋体"/>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2"/>
        <w:spacing w:line="360" w:lineRule="auto"/>
        <w:rPr>
          <w:rFonts w:eastAsia="宋体" w:cs="宋体"/>
          <w:b/>
          <w:bCs/>
          <w:color w:val="auto"/>
          <w:sz w:val="24"/>
          <w:szCs w:val="24"/>
          <w:highlight w:val="none"/>
        </w:rPr>
      </w:pPr>
      <w:r>
        <w:rPr>
          <w:rFonts w:hint="eastAsia" w:eastAsia="宋体" w:cs="宋体"/>
          <w:color w:val="auto"/>
          <w:sz w:val="24"/>
          <w:szCs w:val="24"/>
          <w:highlight w:val="none"/>
        </w:rPr>
        <w:t xml:space="preserve">3.招标文件的修改</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3.1 在投标文件提交截止时间前，招标人或招标代理机构可以对招标文件进行修改</w:t>
      </w:r>
      <w:r>
        <w:rPr>
          <w:rFonts w:hint="eastAsia" w:eastAsia="宋体" w:cs="宋体"/>
          <w:color w:val="auto"/>
          <w:sz w:val="24"/>
          <w:szCs w:val="24"/>
          <w:highlight w:val="none"/>
        </w:rPr>
        <w:t xml:space="preserve">，澄清或者修改的内容作为招标文件的组成部分。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3.2 招标人或招标代理机构有权按照法定的要求推迟投标文件提交截止日期和开标日期。</w:t>
      </w:r>
      <w:r/>
    </w:p>
    <w:p>
      <w:pPr>
        <w:contextualSpacing/>
        <w:ind w:firstLine="482"/>
        <w:spacing w:line="360" w:lineRule="auto"/>
        <w:rPr>
          <w:rFonts w:eastAsia="宋体" w:cs="宋体"/>
          <w:color w:val="auto"/>
          <w:sz w:val="24"/>
          <w:szCs w:val="24"/>
          <w:highlight w:val="none"/>
        </w:rPr>
      </w:pPr>
      <w:r>
        <w:rPr>
          <w:rFonts w:hint="eastAsia" w:eastAsia="宋体" w:cs="宋体"/>
          <w:bCs/>
          <w:color w:val="auto"/>
          <w:sz w:val="24"/>
          <w:szCs w:val="24"/>
          <w:highlight w:val="none"/>
        </w:rPr>
        <w:t xml:space="preserve">3.3 招标文件的修改将在江苏政府采购网公布，补充文件将作为招标文件的组成部分，并对投标人具有约束力</w:t>
      </w:r>
      <w:r>
        <w:rPr>
          <w:rFonts w:hint="eastAsia" w:eastAsia="宋体" w:cs="宋体"/>
          <w:color w:val="auto"/>
          <w:sz w:val="24"/>
          <w:szCs w:val="24"/>
          <w:highlight w:val="none"/>
        </w:rPr>
        <w:t xml:space="preserve">。</w:t>
      </w:r>
      <w:r/>
    </w:p>
    <w:p>
      <w:pPr>
        <w:contextualSpacing/>
        <w:ind w:firstLine="480"/>
        <w:spacing w:line="360" w:lineRule="auto"/>
        <w:rPr>
          <w:rFonts w:eastAsia="宋体" w:cs="宋体"/>
          <w:b/>
          <w:bCs/>
          <w:color w:val="auto"/>
          <w:sz w:val="24"/>
          <w:szCs w:val="24"/>
          <w:highlight w:val="none"/>
          <w:u w:val="single"/>
        </w:rPr>
      </w:pPr>
      <w:r>
        <w:rPr>
          <w:rFonts w:hint="eastAsia" w:eastAsia="宋体" w:cs="宋体"/>
          <w:b/>
          <w:bCs/>
          <w:color w:val="auto"/>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spacing w:line="360" w:lineRule="auto"/>
        <w:rPr>
          <w:rFonts w:eastAsia="宋体" w:cs="宋体"/>
          <w:b/>
          <w:bCs/>
          <w:color w:val="auto"/>
          <w:sz w:val="24"/>
          <w:szCs w:val="24"/>
          <w:highlight w:val="none"/>
        </w:rPr>
        <w:outlineLvl w:val="1"/>
      </w:pPr>
      <w:r/>
      <w:bookmarkStart w:id="30" w:name="_Toc7466"/>
      <w:r>
        <w:rPr>
          <w:rFonts w:hint="eastAsia" w:eastAsia="宋体" w:cs="宋体"/>
          <w:b/>
          <w:bCs/>
          <w:color w:val="auto"/>
          <w:sz w:val="24"/>
          <w:szCs w:val="24"/>
          <w:highlight w:val="none"/>
        </w:rPr>
        <w:t xml:space="preserve">三、投标项目涉及到的现场勘察</w:t>
      </w:r>
      <w:bookmarkEnd w:id="30"/>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招标文件所提供的项目相关数据仅做参考，根据自身需要，投标人可在投标文件递交之日前对有关现场和周围环境进行勘察，以获取编制投标文件和签署合同所需的信息。勘察现场所发生的费用由投标人自己承担。</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2、招标人向投标人提供的有关现场的资料和数据，是招标人现有的并认为能使投标人可利用的资料。招标人对投标人由此而做出的推论、理解和结论概不负责。</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3、经招标人允许，投标人可为勘察目的进入招标人的项目现场，但投标人不得因此使招标人承担有关的责任和蒙受损失。投标人应承担勘察现场的责任和风险。</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作任何答复与考虑。</w:t>
      </w:r>
      <w:r/>
    </w:p>
    <w:p>
      <w:pPr>
        <w:ind w:firstLine="480"/>
        <w:spacing w:line="360" w:lineRule="auto"/>
        <w:rPr>
          <w:rFonts w:eastAsia="宋体" w:cs="宋体"/>
          <w:b/>
          <w:bCs/>
          <w:color w:val="auto"/>
          <w:sz w:val="24"/>
          <w:szCs w:val="24"/>
          <w:highlight w:val="none"/>
          <w:u w:val="single"/>
        </w:rPr>
      </w:pPr>
      <w:r>
        <w:rPr>
          <w:rFonts w:hint="eastAsia" w:eastAsia="宋体" w:cs="宋体"/>
          <w:color w:val="auto"/>
          <w:sz w:val="24"/>
          <w:szCs w:val="24"/>
          <w:highlight w:val="none"/>
        </w:rPr>
        <w:t xml:space="preserve">5、为了供应商准确掌握项目现场实际情况，根据实际情况作出客观可行的方案及报价。</w:t>
      </w:r>
      <w:r/>
    </w:p>
    <w:p>
      <w:pPr>
        <w:contextualSpacing/>
        <w:ind w:firstLine="480"/>
        <w:spacing w:line="360" w:lineRule="auto"/>
        <w:rPr>
          <w:rFonts w:eastAsia="宋体" w:cs="宋体"/>
          <w:b/>
          <w:bCs/>
          <w:color w:val="auto"/>
          <w:sz w:val="24"/>
          <w:szCs w:val="24"/>
          <w:highlight w:val="none"/>
        </w:rPr>
        <w:outlineLvl w:val="1"/>
      </w:pPr>
      <w:r/>
      <w:bookmarkStart w:id="31" w:name="_Toc1943"/>
      <w:r>
        <w:rPr>
          <w:rFonts w:hint="eastAsia" w:eastAsia="宋体" w:cs="宋体"/>
          <w:b/>
          <w:bCs/>
          <w:color w:val="auto"/>
          <w:sz w:val="24"/>
          <w:szCs w:val="24"/>
          <w:highlight w:val="none"/>
        </w:rPr>
        <w:t xml:space="preserve">四、投标文件的编制</w:t>
      </w:r>
      <w:bookmarkEnd w:id="31"/>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1.投标文件的语言及度量衡单位</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1.1投标人提交的投标文件以及投标人与招标人或招标代理机构就有关投标的所有来往通知、函件和文件均应使用简体中文。</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1.2 除技术性能另有规定外，投标文件所使用的度量衡单位，均须采用国家法定计量单位。</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2.投标文件构成</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2.2 如标书制作工具中格式和内容与“江苏政府采购网”发布的招标文件不一致，请以“江苏政府采购网”发布的招标文件为准。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3.证明投标人及投标标的符合招标文件规定的文件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3.1 投标人应按照法律、法规、规章和规范性文件以及招标文件要求提交证明文件，证明其及投标标的符合招标文件规定。</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3.2招标文件对证明文件无明确形式要求的，证明文件可以以文字资料、图纸和数据等形式提交。</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4.投标分项报价表</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4.1 投标人应按照招标文件规定格式填报投标分项报价表。</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4.2投标货币。投标文件中的单价和总价无特殊规定的采用人民币报价，以元为单位标注。招标文件中另有规定的按规定执行。</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5.技术要求响应及偏离表、商务要求响应及偏离表</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5.1 投标人需对招标文件中的技术要求与商务要求逐项作出响应或偏离，并说明原因。</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5.2 投标人可在投标文件中提供认为需要的其他技术文件或说明。</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6.投标函和开标一览表</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6.1 投标人应按照招标文件中提供的格式完整、正确填写投标函、开标一览表。</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7.投标有效期</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7.1投标有效期为招标文件规定的投标文件提交截止时间后</w:t>
      </w:r>
      <w:r>
        <w:rPr>
          <w:rFonts w:hint="eastAsia" w:eastAsia="宋体" w:cs="宋体"/>
          <w:bCs/>
          <w:color w:val="auto"/>
          <w:sz w:val="24"/>
          <w:szCs w:val="24"/>
          <w:highlight w:val="none"/>
          <w:u w:val="single"/>
        </w:rPr>
        <w:t xml:space="preserve">六十（60）天</w:t>
      </w:r>
      <w:r>
        <w:rPr>
          <w:rFonts w:hint="eastAsia" w:eastAsia="宋体" w:cs="宋体"/>
          <w:bCs/>
          <w:color w:val="auto"/>
          <w:sz w:val="24"/>
          <w:szCs w:val="24"/>
          <w:highlight w:val="none"/>
        </w:rPr>
        <w:t xml:space="preserve">。投标有效期比规定短的将被视为非实质性响应而予以拒绝。</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8.投标有效期的延长</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9.电子投标文件其他要求</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9.1电子招标投标交易平台（即“苏采云”系统）相关要求是本招标文件的组成部分。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9.2投标人应对CA证书妥善保管，如被他人盗用投标，因此带来的结果均由投标人自行承担。</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9.3投标人应当对招标文件提出的实质性要求和条件作出实质性响应，并在电子投标系统逐条应答。</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9.4投标人应对要求提供的资格证明文件（如资质证书、资格证书）、技术资料（如白皮书、彩页、手册、检测报告等）扫描上传至投标系统。 </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0"/>
        <w:spacing w:line="360" w:lineRule="auto"/>
        <w:rPr>
          <w:rFonts w:eastAsia="宋体" w:cs="宋体"/>
          <w:color w:val="auto"/>
          <w:sz w:val="24"/>
          <w:szCs w:val="24"/>
          <w:highlight w:val="none"/>
        </w:rPr>
        <w:outlineLvl w:val="1"/>
      </w:pPr>
      <w:r/>
      <w:bookmarkStart w:id="32" w:name="_Toc25719"/>
      <w:r>
        <w:rPr>
          <w:rFonts w:hint="eastAsia" w:eastAsia="宋体" w:cs="宋体"/>
          <w:b/>
          <w:bCs/>
          <w:color w:val="auto"/>
          <w:sz w:val="24"/>
          <w:szCs w:val="24"/>
          <w:highlight w:val="none"/>
        </w:rPr>
        <w:t xml:space="preserve">五、投标文件的提交</w:t>
      </w:r>
      <w:bookmarkEnd w:id="32"/>
      <w:r/>
      <w:r/>
    </w:p>
    <w:p>
      <w:pPr>
        <w:contextualSpacing/>
        <w:ind w:firstLine="482"/>
        <w:spacing w:line="360" w:lineRule="auto"/>
        <w:rPr>
          <w:rFonts w:eastAsia="宋体" w:cs="宋体"/>
          <w:b/>
          <w:bCs/>
          <w:color w:val="auto"/>
          <w:sz w:val="24"/>
          <w:szCs w:val="24"/>
          <w:highlight w:val="none"/>
        </w:rPr>
      </w:pPr>
      <w:r>
        <w:rPr>
          <w:rFonts w:hint="eastAsia" w:eastAsia="宋体" w:cs="宋体"/>
          <w:bCs/>
          <w:color w:val="auto"/>
          <w:sz w:val="24"/>
          <w:szCs w:val="24"/>
          <w:highlight w:val="none"/>
        </w:rPr>
        <w:t xml:space="preserve">1.投标文件的提交</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1.1线上提交与接收地点：投标人应当通过“苏采云”系统提交数据电文形式的投标文件（即电子投标），“苏采云”系统自动接收。</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2.提交投标文件截止日期</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2.1 投标人上传电子投标文件的时间不得迟于公开招标公告中规定的投标文件提交截止时间。</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投标人应充分考虑到网络环境、网络带宽等风险因素，如因投标人自身原因造成的电子投标文件上传不成功由投标人自行承担全部责任。</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3.投标文件的密封（加密）要求：</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3.2投标人须通过“苏采云”系统提供的政府采购客户端工具（使用“CA数字证书”）加盖电子签章。</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说明：投标人应在用CA数字证书以及自备的能够登录“苏采云”系统的电脑，在达到开标时间后，使用CA数字证书解密各自投标文件。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3.3投标人未按规定加密的投标文件，“苏采云”系统将拒收并提示。</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4.投标文件的拒收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4.1 招标代理机构拒绝接收在其规定的投标文件提交截止时间后上传的任何投标文件。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 投标文件的撤回和修改</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5.1 投标文件的撤回</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5.1.1 电子投标文件的撤回</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投标人可在投标文件提交截止时间前，撤回其电子投标文件，具体操作方法见“苏采云”系统供应商操作手册。</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5.1.2 投标人撤回电子投标文件，则认为其不再参与本项目投标活动。</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5.2 投标文件的修改</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5.3 在投标文件提交截止时间之后，投标人不得对其电子投标文件作任何修改。</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5.4 在投标文件提交截止时间至招标文件中规定的投标有效期满之间的这段时间内，投标人不得撤回其投标文件。</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6.投标文件线上格式要求</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6.1 供应商应当通过“苏采云”系统提交数据电文形式的投标文件（即电子投标）。</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6.2 通过“苏采云”系统提交政府采购客户端工具导出加密的投标文件（后缀名为zip）。响应文件不得超过150M!</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6.3 本项目采用线上投标，即供应商投标文件从政府采购客户端工具制作通过“苏采云”系统提交，未提供线上投标文件的，投标无效。</w:t>
      </w:r>
      <w:r/>
    </w:p>
    <w:p>
      <w:pPr>
        <w:contextualSpacing/>
        <w:ind w:firstLine="480"/>
        <w:spacing w:line="360" w:lineRule="auto"/>
        <w:rPr>
          <w:rFonts w:eastAsia="宋体" w:cs="宋体"/>
          <w:b/>
          <w:bCs/>
          <w:color w:val="auto"/>
          <w:sz w:val="24"/>
          <w:szCs w:val="24"/>
          <w:highlight w:val="none"/>
        </w:rPr>
        <w:outlineLvl w:val="1"/>
      </w:pPr>
      <w:r/>
      <w:bookmarkStart w:id="33" w:name="_Toc15827"/>
      <w:r>
        <w:rPr>
          <w:rFonts w:hint="eastAsia" w:eastAsia="宋体" w:cs="宋体"/>
          <w:b/>
          <w:bCs/>
          <w:color w:val="auto"/>
          <w:sz w:val="24"/>
          <w:szCs w:val="24"/>
          <w:highlight w:val="none"/>
        </w:rPr>
        <w:t xml:space="preserve">六、开标与评标</w:t>
      </w:r>
      <w:bookmarkEnd w:id="33"/>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1.开标</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1.1招标人或招标代理机构将在招标公告中规定的时间和地点组织公开开标。</w:t>
      </w:r>
      <w:r>
        <w:rPr>
          <w:rFonts w:hint="eastAsia" w:eastAsia="宋体" w:cs="宋体"/>
          <w:color w:val="auto"/>
          <w:sz w:val="24"/>
          <w:szCs w:val="24"/>
          <w:highlight w:val="none"/>
        </w:rPr>
        <w:t xml:space="preserve">投标人应当按照</w:t>
      </w:r>
      <w:r>
        <w:rPr>
          <w:rFonts w:hint="eastAsia" w:eastAsia="宋体" w:cs="宋体"/>
          <w:bCs/>
          <w:color w:val="auto"/>
          <w:sz w:val="24"/>
          <w:szCs w:val="24"/>
          <w:highlight w:val="none"/>
        </w:rPr>
        <w:t xml:space="preserve">“苏采云”系统供应商操作手册</w:t>
      </w:r>
      <w:r>
        <w:rPr>
          <w:rFonts w:hint="eastAsia" w:eastAsia="宋体" w:cs="宋体"/>
          <w:color w:val="auto"/>
          <w:sz w:val="24"/>
          <w:szCs w:val="24"/>
          <w:highlight w:val="none"/>
        </w:rPr>
        <w:t xml:space="preserve">规定，参加开标活动，在</w:t>
      </w:r>
      <w:r>
        <w:rPr>
          <w:rFonts w:hint="eastAsia" w:eastAsia="宋体" w:cs="宋体"/>
          <w:b/>
          <w:color w:val="auto"/>
          <w:sz w:val="24"/>
          <w:szCs w:val="24"/>
          <w:highlight w:val="none"/>
        </w:rPr>
        <w:t xml:space="preserve">开标后</w:t>
      </w:r>
      <w:r>
        <w:rPr>
          <w:rFonts w:hint="eastAsia" w:eastAsia="宋体" w:cs="宋体"/>
          <w:b/>
          <w:color w:val="auto"/>
          <w:sz w:val="24"/>
          <w:szCs w:val="24"/>
          <w:highlight w:val="none"/>
          <w:u w:val="single"/>
        </w:rPr>
        <w:t xml:space="preserve">30分钟</w:t>
      </w:r>
      <w:r>
        <w:rPr>
          <w:rFonts w:hint="eastAsia" w:eastAsia="宋体" w:cs="宋体"/>
          <w:b/>
          <w:color w:val="auto"/>
          <w:sz w:val="24"/>
          <w:szCs w:val="24"/>
          <w:highlight w:val="none"/>
        </w:rPr>
        <w:t xml:space="preserve">之内</w:t>
      </w:r>
      <w:r>
        <w:rPr>
          <w:rFonts w:hint="eastAsia" w:eastAsia="宋体" w:cs="宋体"/>
          <w:color w:val="auto"/>
          <w:sz w:val="24"/>
          <w:szCs w:val="24"/>
          <w:highlight w:val="none"/>
        </w:rPr>
        <w:t xml:space="preserve">对投标文件进行解密。</w:t>
      </w:r>
      <w:r/>
    </w:p>
    <w:p>
      <w:pPr>
        <w:contextualSpacing/>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cs="宋体"/>
          <w:b/>
          <w:color w:val="auto"/>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2"/>
        <w:spacing w:line="360" w:lineRule="auto"/>
        <w:rPr>
          <w:rFonts w:eastAsia="宋体" w:cs="宋体"/>
          <w:color w:val="auto"/>
          <w:sz w:val="24"/>
          <w:szCs w:val="24"/>
          <w:highlight w:val="none"/>
        </w:rPr>
      </w:pPr>
      <w:r>
        <w:rPr>
          <w:rFonts w:hint="eastAsia" w:eastAsia="宋体" w:cs="宋体"/>
          <w:bCs/>
          <w:color w:val="auto"/>
          <w:sz w:val="24"/>
          <w:szCs w:val="24"/>
          <w:highlight w:val="none"/>
        </w:rPr>
        <w:t xml:space="preserve">1.2</w:t>
      </w:r>
      <w:r>
        <w:rPr>
          <w:rFonts w:hint="eastAsia" w:eastAsia="宋体" w:cs="宋体"/>
          <w:color w:val="auto"/>
          <w:sz w:val="24"/>
          <w:szCs w:val="24"/>
          <w:highlight w:val="none"/>
        </w:rPr>
        <w:t xml:space="preserve">开标仪式由</w:t>
      </w:r>
      <w:r>
        <w:rPr>
          <w:rFonts w:hint="eastAsia" w:eastAsia="宋体" w:cs="宋体"/>
          <w:bCs/>
          <w:color w:val="auto"/>
          <w:sz w:val="24"/>
          <w:szCs w:val="24"/>
          <w:highlight w:val="none"/>
        </w:rPr>
        <w:t xml:space="preserve">招标代理机构</w:t>
      </w:r>
      <w:r>
        <w:rPr>
          <w:rFonts w:hint="eastAsia" w:eastAsia="宋体" w:cs="宋体"/>
          <w:color w:val="auto"/>
          <w:sz w:val="24"/>
          <w:szCs w:val="24"/>
          <w:highlight w:val="none"/>
        </w:rPr>
        <w:t xml:space="preserve">组织。苏采云系统将自动对项目进行开标，并宣布各投标人名称和投标价格。</w:t>
      </w:r>
      <w:r/>
    </w:p>
    <w:p>
      <w:pPr>
        <w:contextualSpacing/>
        <w:ind w:firstLine="482"/>
        <w:spacing w:line="360" w:lineRule="auto"/>
        <w:rPr>
          <w:rFonts w:eastAsia="宋体" w:cs="宋体"/>
          <w:color w:val="auto"/>
          <w:sz w:val="24"/>
          <w:szCs w:val="24"/>
          <w:highlight w:val="none"/>
        </w:rPr>
      </w:pPr>
      <w:r>
        <w:rPr>
          <w:rFonts w:hint="eastAsia" w:eastAsia="宋体" w:cs="宋体"/>
          <w:bCs/>
          <w:color w:val="auto"/>
          <w:sz w:val="24"/>
          <w:szCs w:val="24"/>
          <w:highlight w:val="none"/>
        </w:rPr>
        <w:t xml:space="preserve">1.3投标人在开标过程中涉及到的投标文件解密、开标结果确认等工作，应按照“苏采云”系统供应商操作手册规定执行。</w:t>
      </w:r>
      <w:r/>
    </w:p>
    <w:p>
      <w:pPr>
        <w:contextualSpacing/>
        <w:ind w:firstLine="482"/>
        <w:spacing w:line="360" w:lineRule="auto"/>
        <w:rPr>
          <w:rFonts w:eastAsia="宋体" w:cs="宋体"/>
          <w:b/>
          <w:color w:val="auto"/>
          <w:sz w:val="24"/>
          <w:szCs w:val="24"/>
          <w:highlight w:val="none"/>
        </w:rPr>
      </w:pPr>
      <w:r>
        <w:rPr>
          <w:rFonts w:hint="eastAsia" w:eastAsia="宋体" w:cs="宋体"/>
          <w:color w:val="auto"/>
          <w:sz w:val="24"/>
          <w:szCs w:val="24"/>
          <w:highlight w:val="none"/>
        </w:rPr>
        <w:t xml:space="preserve">1.4投标人如果对开标过程和开标记录有疑义，应当根据</w:t>
      </w:r>
      <w:r>
        <w:rPr>
          <w:rFonts w:hint="eastAsia" w:eastAsia="宋体" w:cs="宋体"/>
          <w:bCs/>
          <w:color w:val="auto"/>
          <w:sz w:val="24"/>
          <w:szCs w:val="24"/>
          <w:highlight w:val="none"/>
        </w:rPr>
        <w:t xml:space="preserve">“苏采云”系统供应商操作手册</w:t>
      </w:r>
      <w:r>
        <w:rPr>
          <w:rFonts w:hint="eastAsia" w:eastAsia="宋体" w:cs="宋体"/>
          <w:color w:val="auto"/>
          <w:sz w:val="24"/>
          <w:szCs w:val="24"/>
          <w:highlight w:val="none"/>
        </w:rPr>
        <w:t xml:space="preserve">规定提出，如苏采云系统中《开标记录表》宣布后5分钟内未提出的，视同认可开标结果。</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2.评标委员会</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2.1开标后，招标代理机构将立即组织评标委员会（以下简称评委会）进行评审。</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2.2评委会由招标人代表和有关技术、经济等方面的专家组成，且人员构成符合政府采购有关规定。</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2.3评标委员会独立工作，负责评审所有投标文件并确定中标候选人。</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 评审过程的保密与公正</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3.1评标委员会、招标人或招标代理机构、相关监督人员等与评审工作有关的人员，对评审情况以及在评审过程中获悉的国家秘密、商业秘密负有保密责任。</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3.2在评审过程中，投标人不得以任何行为影响评审过程，否则其投标文件将被作为无效投标文件。</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3.4凡是与审查、澄清、评价和比较投标的有关资料以及授标建议等，招标人、评标委员会、招标代理机构均不得向投标人或与评标无关的其他人员透露。</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3.5在评审期间，招标代理机构将设专门人员与投标人联系。</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3.6招标人、招标代理机构和评标委员会不向未中标的投标人解释未中标原因，也不公布评审过程中的相关细节。</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3.7 采用综合评分法的项目，未中标的投标人可于中标结果公告期限届满之日起通过苏采云系统查看自己的评审得分及排序情况。</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4.投标文件的澄清</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4.3 接到评标委员会澄清、说明和更正要求的投标人如未按规定做出澄清、说明和 更正，其风险由投标人自行承担。</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5.对投标文件的审查</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5.1投标文件初审分为资格性审查和符合性审查。</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5.1.1资格性检查：依据法律法规和招标文件的规定，由招标人对投标文件中的资格证明文件进行审查。资格审查的结论，招标人以书面形式向评委会进行反馈。</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招标人在进行资格性审查的同时，将在“信用中国”网站查询投标人的信用记录，以确定投标人是否具备投标资格，查询结果留存并归档。</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5.1.2符合性审查：</w:t>
      </w:r>
      <w:bookmarkStart w:id="34" w:name="OLE_LINK8"/>
      <w:r>
        <w:rPr>
          <w:rFonts w:hint="eastAsia" w:eastAsia="宋体" w:cs="宋体"/>
          <w:bCs/>
          <w:color w:val="auto"/>
          <w:sz w:val="24"/>
          <w:szCs w:val="24"/>
          <w:highlight w:val="none"/>
        </w:rPr>
        <w:t xml:space="preserve">依据招标文件的规定，由评标委员会从投标文件的有效性、完整性和对招标文件的响应程度进行审查，以确定是否对招标文件的实质性要求作出响应。</w:t>
      </w:r>
      <w:bookmarkEnd w:id="34"/>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5.1.3未通过资格审查或符合性审查的投标人，招标代理机构将在</w:t>
      </w:r>
      <w:r>
        <w:rPr>
          <w:rFonts w:hint="eastAsia" w:eastAsia="宋体" w:cs="宋体"/>
          <w:color w:val="auto"/>
          <w:sz w:val="24"/>
          <w:szCs w:val="24"/>
          <w:highlight w:val="none"/>
        </w:rPr>
        <w:t xml:space="preserve">苏采云系统</w:t>
      </w:r>
      <w:r>
        <w:rPr>
          <w:rFonts w:hint="eastAsia" w:eastAsia="宋体" w:cs="宋体"/>
          <w:bCs/>
          <w:color w:val="auto"/>
          <w:sz w:val="24"/>
          <w:szCs w:val="24"/>
          <w:highlight w:val="none"/>
        </w:rPr>
        <w:t xml:space="preserve">中告知未通过资格审查或符合性审查的原因，评审结束后，招标代理机构将不再告知未通过资格审查或符合性审查的原因。</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5.2</w:t>
      </w:r>
      <w:r>
        <w:rPr>
          <w:rFonts w:hint="eastAsia" w:eastAsia="宋体" w:cs="宋体"/>
          <w:color w:val="auto"/>
          <w:sz w:val="24"/>
          <w:szCs w:val="24"/>
          <w:highlight w:val="none"/>
        </w:rPr>
        <w:t xml:space="preserve">在详细评审之前</w:t>
      </w:r>
      <w:r>
        <w:rPr>
          <w:rFonts w:hint="eastAsia" w:eastAsia="宋体" w:cs="宋体"/>
          <w:bCs/>
          <w:color w:val="auto"/>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s="宋体"/>
          <w:color w:val="auto"/>
          <w:sz w:val="24"/>
          <w:szCs w:val="24"/>
          <w:highlight w:val="none"/>
        </w:rPr>
        <w:t xml:space="preserve">重大偏离的认定需经过评委会以少数服从多数的原则作出结论</w:t>
      </w:r>
      <w:r>
        <w:rPr>
          <w:rFonts w:hint="eastAsia" w:eastAsia="宋体" w:cs="宋体"/>
          <w:bCs/>
          <w:color w:val="auto"/>
          <w:sz w:val="24"/>
          <w:szCs w:val="24"/>
          <w:highlight w:val="none"/>
        </w:rPr>
        <w:t xml:space="preserve">。评标委员会决定投标文件的响应性只根据投标文件本身的内容，而不寻求外部的证据。</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5.4评标委员会将对确定为实质性响应的文件进行进一步审核，看其是否有计算上或累加上的算术错误，修正错误的原则如下：</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（1）投标文件中开标一览表内容与投标文件中相应内容不一致的，以开标一览表为准。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（2）大写金额和小写金额不一致的，以大写金额为准。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（3）单价金额小数点或者百分比有明显错位的，以开标一览表的总价为准，并修改单价。</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（4）总价金额与按单价汇总金额不一致的，以单价金额计算结果为准。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同时出现两种以上错误的，按照前款规定的顺序修正。</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5.6评标委员会将允许修正投标文件中不构成重大偏离的、微小的、非正规的、不一致的或不规则的地方，但这些修改不能影响任何投标人相应的名次排列。</w:t>
      </w:r>
      <w:r/>
    </w:p>
    <w:p>
      <w:pPr>
        <w:contextualSpacing/>
        <w:ind w:firstLine="482"/>
        <w:spacing w:line="360" w:lineRule="auto"/>
        <w:rPr>
          <w:rFonts w:eastAsia="宋体" w:cs="宋体"/>
          <w:color w:val="auto"/>
          <w:sz w:val="24"/>
          <w:szCs w:val="24"/>
          <w:highlight w:val="none"/>
        </w:rPr>
      </w:pPr>
      <w:r>
        <w:rPr>
          <w:rFonts w:hint="eastAsia" w:eastAsia="宋体" w:cs="宋体"/>
          <w:bCs/>
          <w:color w:val="auto"/>
          <w:sz w:val="24"/>
          <w:szCs w:val="24"/>
          <w:highlight w:val="none"/>
        </w:rPr>
        <w:t xml:space="preserve">5.7 </w:t>
      </w:r>
      <w:r>
        <w:rPr>
          <w:rFonts w:hint="eastAsia" w:eastAsia="宋体" w:cs="宋体"/>
          <w:color w:val="auto"/>
          <w:sz w:val="24"/>
          <w:szCs w:val="24"/>
          <w:highlight w:val="none"/>
        </w:rPr>
        <w:t xml:space="preserve">投标人在开、评标全过程中应保持通讯畅通，及时登录苏采云系统查阅、答复相关信息</w:t>
      </w:r>
      <w:r>
        <w:rPr>
          <w:rFonts w:hint="eastAsia" w:eastAsia="宋体" w:cs="宋体"/>
          <w:bCs/>
          <w:color w:val="auto"/>
          <w:sz w:val="24"/>
          <w:szCs w:val="24"/>
          <w:highlight w:val="none"/>
        </w:rPr>
        <w:t xml:space="preserve">，并安排专人与招标人或招标代理机构及评标委员会联系</w:t>
      </w:r>
      <w:r>
        <w:rPr>
          <w:rFonts w:hint="eastAsia" w:eastAsia="宋体" w:cs="宋体"/>
          <w:color w:val="auto"/>
          <w:sz w:val="24"/>
          <w:szCs w:val="24"/>
          <w:highlight w:val="none"/>
        </w:rPr>
        <w:t xml:space="preserve">。</w:t>
      </w:r>
      <w:r/>
    </w:p>
    <w:p>
      <w:pPr>
        <w:contextualSpacing/>
        <w:ind w:firstLine="480"/>
        <w:spacing w:line="360" w:lineRule="auto"/>
        <w:rPr>
          <w:rFonts w:eastAsia="宋体" w:cs="宋体"/>
          <w:b/>
          <w:bCs/>
          <w:color w:val="auto"/>
          <w:sz w:val="24"/>
          <w:szCs w:val="24"/>
          <w:highlight w:val="none"/>
        </w:rPr>
        <w:outlineLvl w:val="1"/>
      </w:pPr>
      <w:r/>
      <w:bookmarkStart w:id="35" w:name="_Toc21623"/>
      <w:r>
        <w:rPr>
          <w:rFonts w:hint="eastAsia" w:eastAsia="宋体" w:cs="宋体"/>
          <w:b/>
          <w:bCs/>
          <w:color w:val="auto"/>
          <w:sz w:val="24"/>
          <w:szCs w:val="24"/>
          <w:highlight w:val="none"/>
        </w:rPr>
        <w:t xml:space="preserve">七、无效投标条款</w:t>
      </w:r>
      <w:bookmarkEnd w:id="35"/>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1.同一投标人提交两个（含两个）以上不同的投标报价的。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2.投标人不具备招标文件中规定资格要求的。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3.投标人的报价超过了采购预算或最高限价的。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4.未通过符合性审查的。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5.不符合招标文件中规定的实质性要求和条件的。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7.投标文件含有招标人不能接受的附加条件的。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10.投标文件未按照招标文件要求加盖CA电子公章的。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11.投标人的商务技术部分得分相差悬殊，评标委员会一致认为得分畸低者有可能影响产品质量或者不能诚信履约的。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12.投标人在苏采云系统规定的时间内未成功解密电子投标文件的。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13.投标人未按照招标文件要求上传电子投标文件的，或上传的文件打不开的。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14.不同的投标人投标文件制作机器码、文件创建标识码一致的。</w:t>
      </w:r>
      <w:r/>
    </w:p>
    <w:p>
      <w:pPr>
        <w:contextualSpacing/>
        <w:ind w:firstLine="482"/>
        <w:spacing w:line="360" w:lineRule="auto"/>
        <w:rPr>
          <w:rFonts w:eastAsia="宋体" w:cs="宋体"/>
          <w:color w:val="auto"/>
          <w:sz w:val="24"/>
          <w:szCs w:val="24"/>
          <w:highlight w:val="none"/>
        </w:rPr>
      </w:pPr>
      <w:r>
        <w:rPr>
          <w:rFonts w:hint="eastAsia" w:eastAsia="宋体" w:cs="宋体"/>
          <w:bCs/>
          <w:color w:val="auto"/>
          <w:sz w:val="24"/>
          <w:szCs w:val="24"/>
          <w:highlight w:val="none"/>
        </w:rPr>
        <w:t xml:space="preserve">15.其他法律、法规及本招标文件规定的属无效投标的情形</w:t>
      </w:r>
      <w:r>
        <w:rPr>
          <w:rFonts w:hint="eastAsia" w:eastAsia="宋体" w:cs="宋体"/>
          <w:color w:val="auto"/>
          <w:sz w:val="24"/>
          <w:szCs w:val="24"/>
          <w:highlight w:val="none"/>
        </w:rPr>
        <w:t xml:space="preserve">。</w:t>
      </w:r>
      <w:r/>
    </w:p>
    <w:p>
      <w:pPr>
        <w:contextualSpacing/>
        <w:ind w:firstLine="480"/>
        <w:spacing w:line="360" w:lineRule="auto"/>
        <w:rPr>
          <w:rFonts w:eastAsia="宋体" w:cs="宋体"/>
          <w:b/>
          <w:bCs/>
          <w:color w:val="auto"/>
          <w:sz w:val="24"/>
          <w:szCs w:val="24"/>
          <w:highlight w:val="none"/>
        </w:rPr>
        <w:outlineLvl w:val="1"/>
      </w:pPr>
      <w:r/>
      <w:bookmarkStart w:id="36" w:name="_Toc4176"/>
      <w:r>
        <w:rPr>
          <w:rFonts w:hint="eastAsia" w:eastAsia="宋体" w:cs="宋体"/>
          <w:b/>
          <w:bCs/>
          <w:color w:val="auto"/>
          <w:sz w:val="24"/>
          <w:szCs w:val="24"/>
          <w:highlight w:val="none"/>
          <w:lang w:val="zh-CN"/>
        </w:rPr>
        <w:t xml:space="preserve">八、</w:t>
      </w:r>
      <w:r>
        <w:rPr>
          <w:rFonts w:hint="eastAsia" w:eastAsia="宋体" w:cs="宋体"/>
          <w:b/>
          <w:bCs/>
          <w:color w:val="auto"/>
          <w:sz w:val="24"/>
          <w:szCs w:val="24"/>
          <w:highlight w:val="none"/>
        </w:rPr>
        <w:t xml:space="preserve">废标条款</w:t>
      </w:r>
      <w:bookmarkEnd w:id="36"/>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1.符合专业条件的供应商或者对招标文件作实质响应的供应商不足三家的。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2.出现影响采购公正的违法、违规行为的。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3.因重大变故，采购任务取消的。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4.评标委员会认定招标文件存在歧义、重大缺陷导致评审工作无法进行。</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 因苏采云系统系统故障原因造成开标不成功的。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6.投标截止时间结束后参加投标的供应商不足三家的处理：</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6.1如出现投标截止时间结束后参加投标的供应商或者在评标期间对招标文件做出实质响应的供应商不足三家情况，按政府采购相关规定执行。</w:t>
      </w:r>
      <w:r/>
    </w:p>
    <w:p>
      <w:pPr>
        <w:contextualSpacing/>
        <w:ind w:firstLine="480"/>
        <w:spacing w:line="360" w:lineRule="auto"/>
        <w:rPr>
          <w:rFonts w:eastAsia="宋体" w:cs="宋体"/>
          <w:b/>
          <w:bCs/>
          <w:color w:val="auto"/>
          <w:sz w:val="24"/>
          <w:szCs w:val="24"/>
          <w:highlight w:val="none"/>
        </w:rPr>
        <w:outlineLvl w:val="1"/>
      </w:pPr>
      <w:r/>
      <w:bookmarkStart w:id="37" w:name="_Toc26024"/>
      <w:r>
        <w:rPr>
          <w:rFonts w:hint="eastAsia" w:eastAsia="宋体" w:cs="宋体"/>
          <w:b/>
          <w:bCs/>
          <w:color w:val="auto"/>
          <w:sz w:val="24"/>
          <w:szCs w:val="24"/>
          <w:highlight w:val="none"/>
          <w:lang w:val="zh-CN"/>
        </w:rPr>
        <w:t xml:space="preserve">九、</w:t>
      </w:r>
      <w:r>
        <w:rPr>
          <w:rFonts w:hint="eastAsia" w:eastAsia="宋体" w:cs="宋体"/>
          <w:b/>
          <w:bCs/>
          <w:color w:val="auto"/>
          <w:sz w:val="24"/>
          <w:szCs w:val="24"/>
          <w:highlight w:val="none"/>
        </w:rPr>
        <w:t xml:space="preserve">定标</w:t>
      </w:r>
      <w:bookmarkEnd w:id="37"/>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1.确定中标单位</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1.1中标候选人的选取原则和数量见招标文件第四章规定。</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1.2招标人应根据评委会推荐的中标候选人确定中标人。</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1.3 招标代理机构将在“江苏政府采购网”发布中标结果公告，公告期限为1个工作日。</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1.4 若有充分证据证明，中标人出现下列情况之一的，一经查实，将被取消中标资格：</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1.4.1提供虚假材料谋取中标的。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1.4.2向招标人或招标代理机构行贿或者评审专家提供其他不正当利益的。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1.4.3恶意竞争，报价明显低于其自身合理成本且又无法提供证明的。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1.4.4属于本文件规定的无效条件，但在评审过程中又未被评标委员会发现的。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1.4.5与评审专家、招标人、其他投标人或者招标代理机构工作人员恶意串通的。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1.4.6采取不正当手段诋毁、排挤其他投标人的。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1.4.7中标后无正当理由拒不与招标人签订政府采购合同或者未按照招标文件确定的事项签订政府采购合同的。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1.4.8将政府采购合同转包的。</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1.5.有下列情形之一的，视为投标人串通参与投标，投标无效：</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1.5.1不同投标人的投标文件由同一单位或者个人编制；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1.5.2不同投标人委托同一单位或者个人办理投标事宜；</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1.5.3不同投标人的投标文件载明的项目管理成员或者联系人员为同一人；</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1.5.4不同投标人的投标文件异常一致或者响应报价呈规律性差异；</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1.5.5不同投标人的投标文件相互混装。</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2.质疑处理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2.1 提出质疑的投标人应当是参与所质疑项目采购活动的投标人。潜在投标人依法获取其可质疑的招标文件的，可以对招标文件提出质疑。</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2.2.1对可以质疑的招标文件提出质疑的，为收到招标文件之日或者招标文件公告期限届满之日；</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2.2.2对采购过程提出质疑的，为各采购程序环节结束之日；</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2.2.3对中标结果提出质疑的，为中标结果公告期限届满之日。</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2.4质疑答复依据《政府采购质疑和投诉办法》（财政部令第94号）。</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招标人或招标代理机构质疑接收人及联系方式，见招标文件第一章。</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2.5 以下情形的质疑不予受理</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2.5.1 内容不符合《政府采购质疑和投诉办法》第十二条规定的质疑。</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2.5.2 超出政府采购法定期限的质疑。</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2.5.3 未参加投标活动的投标人或在投标活动中自身权益未受到损害的投标人所提出的质疑。</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2.5.4投标人组成联合体参加投标，联合体中任何一方或多方未按要求签字、盖章、加盖公章的质疑。</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2"/>
        <w:spacing w:line="360" w:lineRule="auto"/>
        <w:rPr>
          <w:rFonts w:eastAsia="宋体" w:cs="宋体"/>
          <w:b/>
          <w:color w:val="auto"/>
          <w:sz w:val="24"/>
          <w:szCs w:val="24"/>
          <w:highlight w:val="none"/>
        </w:rPr>
      </w:pPr>
      <w:r>
        <w:rPr>
          <w:rFonts w:hint="eastAsia" w:eastAsia="宋体" w:cs="宋体"/>
          <w:bCs/>
          <w:color w:val="auto"/>
          <w:sz w:val="24"/>
          <w:szCs w:val="24"/>
          <w:highlight w:val="none"/>
        </w:rPr>
        <w:t xml:space="preserve">2.7投诉提起路径：江苏政府采购网（南通市公共资源交易平台）-“办事指南”—“投诉办理指南”。</w:t>
      </w:r>
      <w:r/>
    </w:p>
    <w:p>
      <w:pPr>
        <w:contextualSpacing/>
        <w:ind w:firstLine="480"/>
        <w:spacing w:line="360" w:lineRule="auto"/>
        <w:rPr>
          <w:rFonts w:eastAsia="宋体" w:cs="宋体"/>
          <w:b/>
          <w:bCs/>
          <w:color w:val="auto"/>
          <w:sz w:val="24"/>
          <w:szCs w:val="24"/>
          <w:highlight w:val="none"/>
        </w:rPr>
        <w:outlineLvl w:val="1"/>
      </w:pPr>
      <w:r/>
      <w:bookmarkStart w:id="38" w:name="_Toc29288"/>
      <w:r>
        <w:rPr>
          <w:rFonts w:hint="eastAsia" w:eastAsia="宋体" w:cs="宋体"/>
          <w:b/>
          <w:bCs/>
          <w:color w:val="auto"/>
          <w:sz w:val="24"/>
          <w:szCs w:val="24"/>
          <w:highlight w:val="none"/>
          <w:lang w:val="zh-CN"/>
        </w:rPr>
        <w:t xml:space="preserve">十、</w:t>
      </w:r>
      <w:r>
        <w:rPr>
          <w:rFonts w:hint="eastAsia" w:eastAsia="宋体" w:cs="宋体"/>
          <w:b/>
          <w:bCs/>
          <w:color w:val="auto"/>
          <w:sz w:val="24"/>
          <w:szCs w:val="24"/>
          <w:highlight w:val="none"/>
        </w:rPr>
        <w:t xml:space="preserve">中标通知书</w:t>
      </w:r>
      <w:bookmarkEnd w:id="38"/>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特别说明：中标人在下载或收到中标通知书后须提供3套加盖红章的系统内打印的纸质投标文件交给招标代理机构存档。</w:t>
      </w:r>
      <w:r/>
    </w:p>
    <w:p>
      <w:pPr>
        <w:contextualSpacing/>
        <w:ind w:firstLine="480"/>
        <w:spacing w:line="360" w:lineRule="auto"/>
        <w:rPr>
          <w:rFonts w:eastAsia="宋体"/>
          <w:b/>
          <w:bCs/>
          <w:color w:val="auto"/>
          <w:sz w:val="24"/>
          <w:szCs w:val="24"/>
          <w:highlight w:val="none"/>
        </w:rPr>
      </w:pPr>
      <w:r/>
      <w:bookmarkStart w:id="39" w:name="_Toc28546"/>
      <w:r>
        <w:rPr>
          <w:rFonts w:hint="eastAsia" w:eastAsia="宋体"/>
          <w:b/>
          <w:bCs/>
          <w:color w:val="auto"/>
          <w:sz w:val="24"/>
          <w:szCs w:val="24"/>
          <w:highlight w:val="none"/>
        </w:rPr>
        <w:t xml:space="preserve">十一、</w:t>
      </w:r>
      <w:r>
        <w:rPr>
          <w:rFonts w:eastAsia="宋体"/>
          <w:b/>
          <w:bCs/>
          <w:color w:val="auto"/>
          <w:sz w:val="24"/>
          <w:szCs w:val="24"/>
          <w:highlight w:val="none"/>
          <w:lang w:val="zh-CN"/>
        </w:rPr>
        <w:t xml:space="preserve">履约保证金</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1、本项目中标后的履约保证金为合同总价的</w:t>
      </w:r>
      <w:r>
        <w:rPr>
          <w:rFonts w:hint="eastAsia" w:ascii="宋体" w:hAnsi="宋体" w:eastAsia="宋体" w:cs="宋体"/>
          <w:b/>
          <w:color w:val="auto"/>
          <w:sz w:val="24"/>
          <w:szCs w:val="22"/>
          <w:highlight w:val="none"/>
          <w:u w:val="single"/>
        </w:rPr>
        <w:t xml:space="preserve">5% </w:t>
      </w:r>
      <w:r>
        <w:rPr>
          <w:rFonts w:hint="eastAsia" w:ascii="宋体" w:hAnsi="宋体" w:eastAsia="宋体" w:cs="宋体"/>
          <w:bCs/>
          <w:color w:val="auto"/>
          <w:sz w:val="24"/>
          <w:szCs w:val="22"/>
          <w:highlight w:val="none"/>
        </w:rPr>
        <w:t xml:space="preserve">，中标人可以选择以数字人民币、支票、汇票、本票、或者金融机构、担保机构出具的保函等非现金形式缴纳。</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2、中标人的履约保证金须在签订合同前缴纳，中标人需在中标通知书发出之日起的</w:t>
      </w:r>
      <w:r>
        <w:rPr>
          <w:rFonts w:hint="eastAsia" w:ascii="宋体" w:hAnsi="宋体" w:eastAsia="宋体" w:cs="宋体"/>
          <w:bCs/>
          <w:color w:val="auto"/>
          <w:sz w:val="24"/>
          <w:szCs w:val="24"/>
          <w:highlight w:val="none"/>
        </w:rPr>
        <w:t xml:space="preserve">30日内</w:t>
      </w:r>
      <w:r>
        <w:rPr>
          <w:rFonts w:hint="eastAsia" w:ascii="宋体" w:hAnsi="宋体" w:eastAsia="宋体" w:cs="宋体"/>
          <w:bCs/>
          <w:color w:val="auto"/>
          <w:sz w:val="24"/>
          <w:szCs w:val="22"/>
          <w:highlight w:val="none"/>
        </w:rPr>
        <w:t xml:space="preserve">凭中标通知书及履约保证金缴纳证明按照采购文件确定的事项与采购单位签订合同。超期或未有协商，则视为自动放弃中标资格。</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3、中标人全部履约合同义务，</w:t>
      </w:r>
      <w:r>
        <w:rPr>
          <w:rFonts w:hint="eastAsia" w:ascii="宋体" w:hAnsi="宋体" w:eastAsia="宋体" w:cs="宋体"/>
          <w:bCs/>
          <w:color w:val="auto"/>
          <w:sz w:val="24"/>
          <w:szCs w:val="24"/>
          <w:highlight w:val="none"/>
        </w:rPr>
        <w:t xml:space="preserve">经采购人验收合格无质量、进度等问题的，采购人在验收合格后后30个工作日内一次性退还履约保证金</w:t>
      </w:r>
      <w:r>
        <w:rPr>
          <w:rFonts w:hint="eastAsia" w:ascii="宋体" w:hAnsi="宋体" w:eastAsia="宋体" w:cs="宋体"/>
          <w:bCs/>
          <w:color w:val="auto"/>
          <w:sz w:val="24"/>
          <w:szCs w:val="22"/>
          <w:highlight w:val="none"/>
        </w:rPr>
        <w:t xml:space="preserve">；如采购人迟于约定时间退还履约保证金，除不可抗力因素外，自超过付款期限之日起，按照逾期部分的每日0.01%支付违约金</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4、发生以下情况的，履约保证金不予退还或部分退还：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（1）签订合同后，中标人不履行合同义务的，采购人有权全额扣除履约保证金，全额不予退还，同时采购人亦有权终止合同，中标人还须承担相应的法律赔偿责任。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（2）中标人在履约过程中发生违约行为，给采购人造成损失的，采购人有权在中标人缴纳的履约保证金中予以扣款，以弥补采购人经济损失，不足的部分中标人另外补齐。</w:t>
      </w:r>
      <w:r/>
    </w:p>
    <w:p>
      <w:pPr>
        <w:contextualSpacing/>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0"/>
        <w:spacing w:line="360" w:lineRule="auto"/>
        <w:rPr>
          <w:rFonts w:eastAsia="宋体" w:cs="宋体"/>
          <w:b/>
          <w:bCs/>
          <w:color w:val="auto"/>
          <w:sz w:val="24"/>
          <w:szCs w:val="24"/>
          <w:highlight w:val="none"/>
        </w:rPr>
        <w:outlineLvl w:val="1"/>
      </w:pPr>
      <w:r>
        <w:rPr>
          <w:rFonts w:hint="eastAsia" w:eastAsia="宋体" w:cs="宋体"/>
          <w:b/>
          <w:bCs/>
          <w:color w:val="auto"/>
          <w:sz w:val="24"/>
          <w:szCs w:val="24"/>
          <w:highlight w:val="none"/>
        </w:rPr>
        <w:t xml:space="preserve">十二、授予合同</w:t>
      </w:r>
      <w:bookmarkEnd w:id="39"/>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1.签订合同</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1.l中标人应当在中标通知书发出之日起三十日内，按照招标文件确定的事项与招标人签订政府采购合同。</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1.2招标文件、中标人的投标文件及投标过程中有关澄清、承诺文件均应作为合同附件。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1.3签订合同后，</w:t>
      </w:r>
      <w:r>
        <w:rPr>
          <w:rFonts w:hint="eastAsia" w:eastAsia="宋体" w:cs="宋体"/>
          <w:bCs/>
          <w:color w:val="auto"/>
          <w:sz w:val="24"/>
          <w:szCs w:val="24"/>
          <w:highlight w:val="none"/>
          <w:u w:val="single"/>
        </w:rPr>
        <w:t xml:space="preserve">中标人不得将合同标的进行转包</w:t>
      </w:r>
      <w:r>
        <w:rPr>
          <w:rFonts w:hint="eastAsia" w:eastAsia="宋体" w:cs="宋体"/>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2.标的物的追加</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3. 政府采购合同信用融资扶持政策</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contextualSpacing/>
        <w:ind w:firstLine="480"/>
        <w:spacing w:line="360" w:lineRule="auto"/>
        <w:rPr>
          <w:rFonts w:eastAsia="宋体" w:cs="宋体"/>
          <w:b/>
          <w:bCs/>
          <w:color w:val="auto"/>
          <w:sz w:val="24"/>
          <w:szCs w:val="24"/>
          <w:highlight w:val="none"/>
        </w:rPr>
        <w:outlineLvl w:val="1"/>
      </w:pPr>
      <w:r/>
      <w:bookmarkStart w:id="40" w:name="_Toc28945"/>
      <w:r>
        <w:rPr>
          <w:rFonts w:hint="eastAsia" w:eastAsia="宋体" w:cs="宋体"/>
          <w:b/>
          <w:bCs/>
          <w:color w:val="auto"/>
          <w:sz w:val="24"/>
          <w:szCs w:val="24"/>
          <w:highlight w:val="none"/>
        </w:rPr>
        <w:t xml:space="preserve">十三、电子招标投标交易平台</w:t>
      </w:r>
      <w:bookmarkEnd w:id="40"/>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电子招标投标交易平台（即“苏采云”系统，网址：</w:t>
      </w:r>
      <w:r>
        <w:rPr>
          <w:rFonts w:hint="eastAsia"/>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rFonts w:hint="eastAsia"/>
          <w:color w:val="auto"/>
          <w:highlight w:val="none"/>
        </w:rPr>
        <w:fldChar w:fldCharType="separate"/>
      </w:r>
      <w:r>
        <w:rPr>
          <w:rStyle w:val="1090"/>
          <w:rFonts w:hint="eastAsia" w:eastAsia="宋体" w:cs="宋体"/>
          <w:bCs/>
          <w:color w:val="auto"/>
          <w:sz w:val="24"/>
          <w:szCs w:val="24"/>
          <w:highlight w:val="none"/>
        </w:rPr>
        <w:t xml:space="preserve">http://jszfcg.jsczt.cn/）相关要求是本招标文件的组成部分。</w:t>
      </w:r>
      <w:r>
        <w:rPr>
          <w:rStyle w:val="1090"/>
          <w:rFonts w:hint="eastAsia" w:eastAsia="宋体" w:cs="宋体"/>
          <w:bCs/>
          <w:color w:val="auto"/>
          <w:sz w:val="24"/>
          <w:szCs w:val="24"/>
          <w:highlight w:val="none"/>
        </w:rPr>
        <w:fldChar w:fldCharType="end"/>
      </w:r>
      <w:r/>
    </w:p>
    <w:p>
      <w:pPr>
        <w:contextualSpacing/>
        <w:ind w:firstLine="480"/>
        <w:spacing w:line="360" w:lineRule="auto"/>
        <w:rPr>
          <w:rFonts w:eastAsia="宋体" w:cs="宋体"/>
          <w:b/>
          <w:bCs/>
          <w:color w:val="auto"/>
          <w:sz w:val="24"/>
          <w:szCs w:val="24"/>
          <w:highlight w:val="none"/>
        </w:rPr>
        <w:outlineLvl w:val="1"/>
      </w:pPr>
      <w:r/>
      <w:bookmarkStart w:id="41" w:name="_Toc6399"/>
      <w:r>
        <w:rPr>
          <w:rFonts w:hint="eastAsia" w:eastAsia="宋体" w:cs="宋体"/>
          <w:b/>
          <w:bCs/>
          <w:color w:val="auto"/>
          <w:sz w:val="24"/>
          <w:szCs w:val="24"/>
          <w:highlight w:val="none"/>
        </w:rPr>
        <w:t xml:space="preserve">十四、未尽事宜</w:t>
      </w:r>
      <w:bookmarkEnd w:id="41"/>
      <w:r/>
      <w:r/>
    </w:p>
    <w:p>
      <w:pPr>
        <w:contextualSpacing/>
        <w:ind w:firstLine="482"/>
        <w:jc w:val="left"/>
        <w:spacing w:line="360" w:lineRule="auto"/>
        <w:rPr>
          <w:rFonts w:eastAsia="宋体" w:cs="宋体"/>
          <w:b/>
          <w:bCs/>
          <w:color w:val="auto"/>
          <w:sz w:val="21"/>
          <w:szCs w:val="21"/>
          <w:highlight w:val="none"/>
        </w:rPr>
        <w:sectPr>
          <w:footerReference w:type="default" r:id="rId18"/>
          <w:footnotePr/>
          <w:endnotePr/>
          <w:type w:val="nextPage"/>
          <w:pgSz w:w="11905" w:h="16838" w:orient="portrait"/>
          <w:pgMar w:top="1417" w:right="1701" w:bottom="1587" w:left="1701" w:header="850" w:footer="992" w:gutter="0"/>
          <w:pgNumType w:start="1"/>
          <w:cols w:num="1" w:sep="0" w:space="1701" w:equalWidth="1"/>
          <w:docGrid w:linePitch="360"/>
        </w:sectPr>
      </w:pPr>
      <w:r>
        <w:rPr>
          <w:rFonts w:hint="eastAsia" w:eastAsia="宋体" w:cs="宋体"/>
          <w:color w:val="auto"/>
          <w:sz w:val="24"/>
          <w:szCs w:val="24"/>
          <w:highlight w:val="none"/>
        </w:rPr>
        <w:t xml:space="preserve">按《中华人民共和国政府采购法》及其他有关法律法规的规定执行。</w:t>
      </w:r>
      <w:bookmarkEnd w:id="27"/>
      <w:r/>
      <w:r/>
    </w:p>
    <w:p>
      <w:pPr>
        <w:jc w:val="center"/>
        <w:spacing w:line="360" w:lineRule="auto"/>
        <w:tabs>
          <w:tab w:val="left" w:pos="1050" w:leader="none"/>
          <w:tab w:val="right" w:pos="9402" w:leader="dot"/>
        </w:tabs>
        <w:rPr>
          <w:rFonts w:eastAsia="宋体" w:cs="宋体"/>
          <w:b/>
          <w:color w:val="auto"/>
          <w:sz w:val="36"/>
          <w:szCs w:val="36"/>
          <w:highlight w:val="none"/>
        </w:rPr>
        <w:outlineLvl w:val="0"/>
      </w:pPr>
      <w:r/>
      <w:bookmarkStart w:id="42" w:name="_Toc16382"/>
      <w:r/>
      <w:bookmarkStart w:id="43" w:name="_Toc5586"/>
      <w:r/>
      <w:bookmarkStart w:id="44" w:name="_Toc13543213"/>
      <w:r>
        <w:rPr>
          <w:rFonts w:hint="eastAsia" w:eastAsia="宋体" w:cs="宋体"/>
          <w:b/>
          <w:color w:val="auto"/>
          <w:sz w:val="36"/>
          <w:szCs w:val="36"/>
          <w:highlight w:val="none"/>
        </w:rPr>
        <w:t xml:space="preserve">第三章 项目需求</w:t>
      </w:r>
      <w:bookmarkEnd w:id="42"/>
      <w:r/>
      <w:bookmarkEnd w:id="43"/>
      <w:r/>
      <w:r/>
    </w:p>
    <w:p>
      <w:pPr>
        <w:pStyle w:val="1010"/>
        <w:ind w:firstLine="482"/>
        <w:keepLines w:val="0"/>
        <w:keepNext w:val="0"/>
        <w:spacing w:line="360" w:lineRule="auto"/>
        <w:rPr>
          <w:rFonts w:ascii="Times New Roman" w:hAnsi="Times New Roman" w:eastAsia="宋体" w:cs="宋体"/>
          <w:bCs/>
          <w:color w:val="auto"/>
          <w:sz w:val="24"/>
          <w:szCs w:val="24"/>
          <w:highlight w:val="none"/>
        </w:rPr>
      </w:pPr>
      <w:r/>
      <w:bookmarkStart w:id="45" w:name="_Toc4659"/>
      <w:r/>
      <w:bookmarkStart w:id="46" w:name="_Toc182848996"/>
      <w:r>
        <w:rPr>
          <w:rFonts w:hint="eastAsia" w:ascii="Times New Roman" w:hAnsi="Times New Roman" w:eastAsia="宋体" w:cs="宋体"/>
          <w:bCs/>
          <w:color w:val="auto"/>
          <w:sz w:val="24"/>
          <w:szCs w:val="24"/>
          <w:highlight w:val="none"/>
        </w:rPr>
        <w:t xml:space="preserve">一、项目名称</w:t>
      </w:r>
      <w:bookmarkEnd w:id="45"/>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南通市医疗保障基金智能监管改革试点建设项目</w:t>
      </w:r>
      <w:r/>
    </w:p>
    <w:p>
      <w:pPr>
        <w:pStyle w:val="1010"/>
        <w:ind w:firstLine="482"/>
        <w:keepLines w:val="0"/>
        <w:keepNext w:val="0"/>
        <w:spacing w:line="360" w:lineRule="auto"/>
        <w:rPr>
          <w:rFonts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二、项目背景</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为贯彻落实《国家医疗保障局办公室关于开展智能监管改革试点的通知》（医保办函〔2025〕40号）及《国家医疗保障局关于进一步深入推进医疗保障基金智能审核和监控工作的通知》（医保发〔2023〕25号）要求，进一步提升我市医疗保障基金智能监管工作质效，拟开展南通市医疗保障基金智能监管改革试点建设。</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本项目</w:t>
      </w:r>
      <w:r>
        <w:rPr>
          <w:rFonts w:eastAsia="宋体" w:cs="宋体"/>
          <w:bCs/>
          <w:color w:val="auto"/>
          <w:sz w:val="24"/>
          <w:szCs w:val="24"/>
          <w:highlight w:val="none"/>
        </w:rPr>
        <w:t xml:space="preserve">以维护医保基金安全为核心，以数字化转型为驱动，以国家、省智能监管理念和技术框架为基础，聚焦事前提醒、事中审核、事后监管全环节，深化</w:t>
      </w:r>
      <w:r>
        <w:rPr>
          <w:rFonts w:hint="eastAsia" w:eastAsia="宋体" w:cs="宋体"/>
          <w:bCs/>
          <w:color w:val="auto"/>
          <w:sz w:val="24"/>
          <w:szCs w:val="24"/>
          <w:highlight w:val="none"/>
        </w:rPr>
        <w:t xml:space="preserve">“</w:t>
      </w:r>
      <w:r>
        <w:rPr>
          <w:rFonts w:eastAsia="宋体" w:cs="宋体"/>
          <w:bCs/>
          <w:color w:val="auto"/>
          <w:sz w:val="24"/>
          <w:szCs w:val="24"/>
          <w:highlight w:val="none"/>
        </w:rPr>
        <w:t xml:space="preserve">两库</w:t>
      </w:r>
      <w:r>
        <w:rPr>
          <w:rFonts w:hint="eastAsia" w:eastAsia="宋体" w:cs="宋体"/>
          <w:bCs/>
          <w:color w:val="auto"/>
          <w:sz w:val="24"/>
          <w:szCs w:val="24"/>
          <w:highlight w:val="none"/>
        </w:rPr>
        <w:t xml:space="preserve">”</w:t>
      </w:r>
      <w:r>
        <w:rPr>
          <w:rFonts w:eastAsia="宋体" w:cs="宋体"/>
          <w:bCs/>
          <w:color w:val="auto"/>
          <w:sz w:val="24"/>
          <w:szCs w:val="24"/>
          <w:highlight w:val="none"/>
        </w:rPr>
        <w:t xml:space="preserve">应用与创新，全面提升智能监管的精准性、有效性和规范性，</w:t>
      </w:r>
      <w:r>
        <w:rPr>
          <w:rFonts w:hint="eastAsia" w:eastAsia="宋体" w:cs="宋体"/>
          <w:bCs/>
          <w:color w:val="auto"/>
          <w:sz w:val="24"/>
          <w:szCs w:val="24"/>
          <w:highlight w:val="none"/>
        </w:rPr>
        <w:t xml:space="preserve">从源头上减少使用医保基金违法违规行为发生，</w:t>
      </w:r>
      <w:r>
        <w:rPr>
          <w:rFonts w:eastAsia="宋体" w:cs="宋体"/>
          <w:bCs/>
          <w:color w:val="auto"/>
          <w:sz w:val="24"/>
          <w:szCs w:val="24"/>
          <w:highlight w:val="none"/>
        </w:rPr>
        <w:t xml:space="preserve">为智能监管</w:t>
      </w:r>
      <w:r>
        <w:rPr>
          <w:rFonts w:hint="eastAsia" w:eastAsia="宋体" w:cs="宋体"/>
          <w:bCs/>
          <w:color w:val="auto"/>
          <w:sz w:val="24"/>
          <w:szCs w:val="24"/>
          <w:highlight w:val="none"/>
        </w:rPr>
        <w:t xml:space="preserve">改革工作</w:t>
      </w:r>
      <w:r>
        <w:rPr>
          <w:rFonts w:eastAsia="宋体" w:cs="宋体"/>
          <w:bCs/>
          <w:color w:val="auto"/>
          <w:sz w:val="24"/>
          <w:szCs w:val="24"/>
          <w:highlight w:val="none"/>
        </w:rPr>
        <w:t xml:space="preserve">提供</w:t>
      </w:r>
      <w:r>
        <w:rPr>
          <w:rFonts w:hint="eastAsia" w:eastAsia="宋体" w:cs="宋体"/>
          <w:bCs/>
          <w:color w:val="auto"/>
          <w:sz w:val="24"/>
          <w:szCs w:val="24"/>
          <w:highlight w:val="none"/>
        </w:rPr>
        <w:t xml:space="preserve">“</w:t>
      </w:r>
      <w:r>
        <w:rPr>
          <w:rFonts w:eastAsia="宋体" w:cs="宋体"/>
          <w:bCs/>
          <w:color w:val="auto"/>
          <w:sz w:val="24"/>
          <w:szCs w:val="24"/>
          <w:highlight w:val="none"/>
        </w:rPr>
        <w:t xml:space="preserve">南通经验</w:t>
      </w:r>
      <w:r>
        <w:rPr>
          <w:rFonts w:hint="eastAsia" w:eastAsia="宋体" w:cs="宋体"/>
          <w:bCs/>
          <w:color w:val="auto"/>
          <w:sz w:val="24"/>
          <w:szCs w:val="24"/>
          <w:highlight w:val="none"/>
        </w:rPr>
        <w:t xml:space="preserve">”</w:t>
      </w:r>
      <w:r>
        <w:rPr>
          <w:rFonts w:eastAsia="宋体" w:cs="宋体"/>
          <w:bCs/>
          <w:color w:val="auto"/>
          <w:sz w:val="24"/>
          <w:szCs w:val="24"/>
          <w:highlight w:val="none"/>
        </w:rPr>
        <w:t xml:space="preserve">。</w:t>
      </w:r>
      <w:r/>
    </w:p>
    <w:p>
      <w:pPr>
        <w:pStyle w:val="1010"/>
        <w:ind w:firstLine="482"/>
        <w:keepLines w:val="0"/>
        <w:keepNext w:val="0"/>
        <w:spacing w:line="360" w:lineRule="auto"/>
        <w:rPr>
          <w:rFonts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三</w:t>
      </w:r>
      <w:r>
        <w:rPr>
          <w:rFonts w:ascii="Times New Roman" w:hAnsi="Times New Roman" w:eastAsia="宋体" w:cs="宋体"/>
          <w:bCs/>
          <w:color w:val="auto"/>
          <w:sz w:val="24"/>
          <w:szCs w:val="24"/>
          <w:highlight w:val="none"/>
        </w:rPr>
        <w:t xml:space="preserve">、</w:t>
      </w:r>
      <w:r>
        <w:rPr>
          <w:rFonts w:hint="eastAsia" w:ascii="Times New Roman" w:hAnsi="Times New Roman" w:eastAsia="宋体" w:cs="宋体"/>
          <w:bCs/>
          <w:color w:val="auto"/>
          <w:sz w:val="24"/>
          <w:szCs w:val="24"/>
          <w:highlight w:val="none"/>
        </w:rPr>
        <w:t xml:space="preserve">项目</w:t>
      </w:r>
      <w:r>
        <w:rPr>
          <w:rFonts w:ascii="Times New Roman" w:hAnsi="Times New Roman" w:eastAsia="宋体" w:cs="宋体"/>
          <w:bCs/>
          <w:color w:val="auto"/>
          <w:sz w:val="24"/>
          <w:szCs w:val="24"/>
          <w:highlight w:val="none"/>
        </w:rPr>
        <w:t xml:space="preserve">目标</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以智能监管改革试点为抓手，带动智能监管事前提醒、事中审核、事后监管全流程工作质效提升，实现定点医药机构在事中审核、事后检查等监管工作中，发现问题明显减少，同时推动“两库”在定点医药机构自建事前提醒系统落地应用，提升自查自纠能力，赋能定点机构内控管理与医保监管。</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具体工作目标包括：</w:t>
      </w:r>
      <w:r>
        <w:rPr>
          <w:rFonts w:hint="eastAsia" w:ascii="宋体" w:hAnsi="宋体" w:eastAsia="宋体" w:cs="宋体"/>
          <w:bCs/>
          <w:color w:val="auto"/>
          <w:sz w:val="24"/>
          <w:szCs w:val="24"/>
          <w:highlight w:val="none"/>
        </w:rPr>
        <w:t xml:space="preserve">“</w:t>
      </w:r>
      <w:r>
        <w:rPr>
          <w:rFonts w:ascii="宋体" w:hAnsi="宋体" w:eastAsia="宋体" w:cs="宋体"/>
          <w:bCs/>
          <w:color w:val="auto"/>
          <w:sz w:val="24"/>
          <w:szCs w:val="24"/>
          <w:highlight w:val="none"/>
        </w:rPr>
        <w:t xml:space="preserve">两库</w:t>
      </w:r>
      <w:r>
        <w:rPr>
          <w:rFonts w:hint="eastAsia" w:ascii="宋体" w:hAnsi="宋体" w:eastAsia="宋体" w:cs="宋体"/>
          <w:bCs/>
          <w:color w:val="auto"/>
          <w:sz w:val="24"/>
          <w:szCs w:val="24"/>
          <w:highlight w:val="none"/>
        </w:rPr>
        <w:t xml:space="preserve">”</w:t>
      </w:r>
      <w:r>
        <w:rPr>
          <w:rFonts w:ascii="宋体" w:hAnsi="宋体" w:eastAsia="宋体" w:cs="宋体"/>
          <w:bCs/>
          <w:color w:val="auto"/>
          <w:sz w:val="24"/>
          <w:szCs w:val="24"/>
          <w:highlight w:val="none"/>
        </w:rPr>
        <w:t xml:space="preserve">建设维护</w:t>
      </w:r>
      <w:r>
        <w:rPr>
          <w:rFonts w:hint="eastAsia" w:eastAsia="宋体" w:cs="宋体"/>
          <w:bCs/>
          <w:color w:val="auto"/>
          <w:sz w:val="24"/>
          <w:szCs w:val="24"/>
          <w:highlight w:val="none"/>
        </w:rPr>
        <w:t xml:space="preserve">、</w:t>
      </w:r>
      <w:r>
        <w:rPr>
          <w:rFonts w:ascii="宋体" w:hAnsi="宋体" w:eastAsia="宋体" w:cs="宋体"/>
          <w:bCs/>
          <w:color w:val="auto"/>
          <w:sz w:val="24"/>
          <w:szCs w:val="24"/>
          <w:highlight w:val="none"/>
        </w:rPr>
        <w:t xml:space="preserve">事前提醒提质增效</w:t>
      </w:r>
      <w:r>
        <w:rPr>
          <w:rFonts w:hint="eastAsia" w:eastAsia="宋体" w:cs="宋体"/>
          <w:bCs/>
          <w:color w:val="auto"/>
          <w:sz w:val="24"/>
          <w:szCs w:val="24"/>
          <w:highlight w:val="none"/>
        </w:rPr>
        <w:t xml:space="preserve">、</w:t>
      </w:r>
      <w:r>
        <w:rPr>
          <w:rFonts w:ascii="宋体" w:hAnsi="宋体" w:eastAsia="宋体" w:cs="宋体"/>
          <w:bCs/>
          <w:color w:val="auto"/>
          <w:sz w:val="24"/>
          <w:szCs w:val="24"/>
          <w:highlight w:val="none"/>
        </w:rPr>
        <w:t xml:space="preserve">事中审核</w:t>
      </w:r>
      <w:r>
        <w:rPr>
          <w:rFonts w:hint="eastAsia" w:eastAsia="宋体" w:cs="宋体"/>
          <w:bCs/>
          <w:color w:val="auto"/>
          <w:sz w:val="24"/>
          <w:szCs w:val="24"/>
          <w:highlight w:val="none"/>
        </w:rPr>
        <w:t xml:space="preserve">强化</w:t>
      </w:r>
      <w:r>
        <w:rPr>
          <w:rFonts w:ascii="宋体" w:hAnsi="宋体" w:eastAsia="宋体" w:cs="宋体"/>
          <w:bCs/>
          <w:color w:val="auto"/>
          <w:sz w:val="24"/>
          <w:szCs w:val="24"/>
          <w:highlight w:val="none"/>
        </w:rPr>
        <w:t xml:space="preserve">效能</w:t>
      </w:r>
      <w:r>
        <w:rPr>
          <w:rFonts w:hint="eastAsia" w:eastAsia="宋体" w:cs="宋体"/>
          <w:bCs/>
          <w:color w:val="auto"/>
          <w:sz w:val="24"/>
          <w:szCs w:val="24"/>
          <w:highlight w:val="none"/>
        </w:rPr>
        <w:t xml:space="preserve">、</w:t>
      </w:r>
      <w:r>
        <w:rPr>
          <w:rFonts w:ascii="宋体" w:hAnsi="宋体" w:eastAsia="宋体" w:cs="宋体"/>
          <w:bCs/>
          <w:color w:val="auto"/>
          <w:sz w:val="24"/>
          <w:szCs w:val="24"/>
          <w:highlight w:val="none"/>
        </w:rPr>
        <w:t xml:space="preserve">事后监管闭环管理</w:t>
      </w:r>
      <w:r>
        <w:rPr>
          <w:rFonts w:hint="eastAsia" w:ascii="宋体" w:hAnsi="宋体" w:eastAsia="宋体" w:cs="宋体"/>
          <w:bCs/>
          <w:color w:val="auto"/>
          <w:sz w:val="24"/>
          <w:szCs w:val="24"/>
          <w:highlight w:val="none"/>
        </w:rPr>
        <w:t xml:space="preserve">、</w:t>
      </w:r>
      <w:r>
        <w:rPr>
          <w:rFonts w:ascii="宋体" w:hAnsi="宋体" w:eastAsia="宋体" w:cs="宋体"/>
          <w:bCs/>
          <w:color w:val="auto"/>
          <w:sz w:val="24"/>
          <w:szCs w:val="24"/>
          <w:highlight w:val="none"/>
        </w:rPr>
        <w:t xml:space="preserve">场景监控创新应用</w:t>
      </w:r>
      <w:r>
        <w:rPr>
          <w:rFonts w:hint="eastAsia" w:eastAsia="宋体" w:cs="宋体"/>
          <w:bCs/>
          <w:color w:val="auto"/>
          <w:sz w:val="24"/>
          <w:szCs w:val="24"/>
          <w:highlight w:val="none"/>
        </w:rPr>
        <w:t xml:space="preserve">、</w:t>
      </w:r>
      <w:r>
        <w:rPr>
          <w:rFonts w:ascii="宋体" w:hAnsi="宋体" w:eastAsia="宋体" w:cs="宋体"/>
          <w:bCs/>
          <w:color w:val="auto"/>
          <w:sz w:val="24"/>
          <w:szCs w:val="24"/>
          <w:highlight w:val="none"/>
        </w:rPr>
        <w:t xml:space="preserve">数据应用与归集</w:t>
      </w:r>
      <w:r>
        <w:rPr>
          <w:rFonts w:hint="eastAsia" w:eastAsia="宋体" w:cs="宋体"/>
          <w:bCs/>
          <w:color w:val="auto"/>
          <w:sz w:val="24"/>
          <w:szCs w:val="24"/>
          <w:highlight w:val="none"/>
        </w:rPr>
        <w:t xml:space="preserve">、</w:t>
      </w:r>
      <w:r>
        <w:rPr>
          <w:rFonts w:ascii="宋体" w:hAnsi="宋体" w:eastAsia="宋体" w:cs="宋体"/>
          <w:bCs/>
          <w:color w:val="auto"/>
          <w:sz w:val="24"/>
          <w:szCs w:val="24"/>
          <w:highlight w:val="none"/>
        </w:rPr>
        <w:t xml:space="preserve">工作机制完善</w:t>
      </w:r>
      <w:r>
        <w:rPr>
          <w:rFonts w:hint="eastAsia" w:ascii="宋体" w:hAnsi="宋体" w:eastAsia="宋体" w:cs="宋体"/>
          <w:bCs/>
          <w:color w:val="auto"/>
          <w:sz w:val="24"/>
          <w:szCs w:val="24"/>
          <w:highlight w:val="none"/>
        </w:rPr>
        <w:t xml:space="preserve">。</w:t>
      </w:r>
      <w:r/>
    </w:p>
    <w:p>
      <w:pPr>
        <w:pStyle w:val="1010"/>
        <w:ind w:firstLine="482"/>
        <w:keepLines w:val="0"/>
        <w:keepNext w:val="0"/>
        <w:spacing w:line="360" w:lineRule="auto"/>
        <w:rPr>
          <w:rFonts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四</w:t>
      </w:r>
      <w:r>
        <w:rPr>
          <w:rFonts w:ascii="Times New Roman" w:hAnsi="Times New Roman" w:eastAsia="宋体" w:cs="宋体"/>
          <w:bCs/>
          <w:color w:val="auto"/>
          <w:sz w:val="24"/>
          <w:szCs w:val="24"/>
          <w:highlight w:val="none"/>
        </w:rPr>
        <w:t xml:space="preserve">、</w:t>
      </w:r>
      <w:r>
        <w:rPr>
          <w:rFonts w:hint="eastAsia" w:ascii="Times New Roman" w:hAnsi="Times New Roman" w:eastAsia="宋体" w:cs="宋体"/>
          <w:bCs/>
          <w:color w:val="auto"/>
          <w:sz w:val="24"/>
          <w:szCs w:val="24"/>
          <w:highlight w:val="none"/>
        </w:rPr>
        <w:t xml:space="preserve">项目建设内容</w:t>
      </w:r>
      <w:r/>
    </w:p>
    <w:p>
      <w:pPr>
        <w:contextualSpacing/>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（一）“两库”本地化建设</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1.严格对照</w:t>
      </w:r>
      <w:r>
        <w:rPr>
          <w:rFonts w:eastAsia="宋体" w:cs="宋体"/>
          <w:bCs/>
          <w:color w:val="auto"/>
          <w:sz w:val="24"/>
          <w:szCs w:val="24"/>
          <w:highlight w:val="none"/>
        </w:rPr>
        <w:t xml:space="preserve">国家局分批公开</w:t>
      </w:r>
      <w:r>
        <w:rPr>
          <w:rFonts w:hint="eastAsia" w:eastAsia="宋体" w:cs="宋体"/>
          <w:bCs/>
          <w:color w:val="auto"/>
          <w:sz w:val="24"/>
          <w:szCs w:val="24"/>
          <w:highlight w:val="none"/>
        </w:rPr>
        <w:t xml:space="preserve">发</w:t>
      </w:r>
      <w:r>
        <w:rPr>
          <w:rFonts w:eastAsia="宋体" w:cs="宋体"/>
          <w:bCs/>
          <w:color w:val="auto"/>
          <w:sz w:val="24"/>
          <w:szCs w:val="24"/>
          <w:highlight w:val="none"/>
        </w:rPr>
        <w:t xml:space="preserve">布的智能监管</w:t>
      </w:r>
      <w:r>
        <w:rPr>
          <w:rFonts w:hint="eastAsia" w:eastAsia="宋体" w:cs="宋体"/>
          <w:bCs/>
          <w:color w:val="auto"/>
          <w:sz w:val="24"/>
          <w:szCs w:val="24"/>
          <w:highlight w:val="none"/>
        </w:rPr>
        <w:t xml:space="preserve">“</w:t>
      </w:r>
      <w:r>
        <w:rPr>
          <w:rFonts w:eastAsia="宋体" w:cs="宋体"/>
          <w:bCs/>
          <w:color w:val="auto"/>
          <w:sz w:val="24"/>
          <w:szCs w:val="24"/>
          <w:highlight w:val="none"/>
        </w:rPr>
        <w:t xml:space="preserve">两库</w:t>
      </w:r>
      <w:r>
        <w:rPr>
          <w:rFonts w:hint="eastAsia" w:eastAsia="宋体" w:cs="宋体"/>
          <w:bCs/>
          <w:color w:val="auto"/>
          <w:sz w:val="24"/>
          <w:szCs w:val="24"/>
          <w:highlight w:val="none"/>
        </w:rPr>
        <w:t xml:space="preserve">”规则和</w:t>
      </w:r>
      <w:r>
        <w:rPr>
          <w:rFonts w:eastAsia="宋体" w:cs="宋体"/>
          <w:bCs/>
          <w:color w:val="auto"/>
          <w:sz w:val="24"/>
          <w:szCs w:val="24"/>
          <w:highlight w:val="none"/>
        </w:rPr>
        <w:t xml:space="preserve">知识点</w:t>
      </w:r>
      <w:r>
        <w:rPr>
          <w:rFonts w:hint="eastAsia" w:eastAsia="宋体" w:cs="宋体"/>
          <w:bCs/>
          <w:color w:val="auto"/>
          <w:sz w:val="24"/>
          <w:szCs w:val="24"/>
          <w:highlight w:val="none"/>
        </w:rPr>
        <w:t xml:space="preserve">，以及</w:t>
      </w:r>
      <w:r>
        <w:rPr>
          <w:rFonts w:eastAsia="宋体" w:cs="宋体"/>
          <w:bCs/>
          <w:color w:val="auto"/>
          <w:sz w:val="24"/>
          <w:szCs w:val="24"/>
          <w:highlight w:val="none"/>
        </w:rPr>
        <w:t xml:space="preserve">江苏省最新管理规范，</w:t>
      </w:r>
      <w:r>
        <w:rPr>
          <w:rFonts w:hint="eastAsia" w:eastAsia="宋体" w:cs="宋体"/>
          <w:bCs/>
          <w:color w:val="auto"/>
          <w:sz w:val="24"/>
          <w:szCs w:val="24"/>
          <w:highlight w:val="none"/>
        </w:rPr>
        <w:t xml:space="preserve">并结合本地常见违规行为特征，完成“两库”本地化建设和优化。</w:t>
      </w:r>
      <w:r>
        <w:rPr>
          <w:rFonts w:eastAsia="宋体" w:cs="宋体"/>
          <w:bCs/>
          <w:color w:val="auto"/>
          <w:sz w:val="24"/>
          <w:szCs w:val="24"/>
          <w:highlight w:val="none"/>
        </w:rPr>
        <w:t xml:space="preserve">通过</w:t>
      </w:r>
      <w:r>
        <w:rPr>
          <w:rFonts w:hint="eastAsia" w:eastAsia="宋体" w:cs="宋体"/>
          <w:bCs/>
          <w:color w:val="auto"/>
          <w:sz w:val="24"/>
          <w:szCs w:val="24"/>
          <w:highlight w:val="none"/>
        </w:rPr>
        <w:t xml:space="preserve">组织第三方</w:t>
      </w:r>
      <w:r>
        <w:rPr>
          <w:rFonts w:eastAsia="宋体" w:cs="宋体"/>
          <w:bCs/>
          <w:color w:val="auto"/>
          <w:sz w:val="24"/>
          <w:szCs w:val="24"/>
          <w:highlight w:val="none"/>
        </w:rPr>
        <w:t xml:space="preserve">临床专家</w:t>
      </w:r>
      <w:r>
        <w:rPr>
          <w:rFonts w:hint="eastAsia" w:eastAsia="宋体" w:cs="宋体"/>
          <w:bCs/>
          <w:color w:val="auto"/>
          <w:sz w:val="24"/>
          <w:szCs w:val="24"/>
          <w:highlight w:val="none"/>
        </w:rPr>
        <w:t xml:space="preserve">、</w:t>
      </w:r>
      <w:r>
        <w:rPr>
          <w:rFonts w:eastAsia="宋体" w:cs="宋体"/>
          <w:bCs/>
          <w:color w:val="auto"/>
          <w:sz w:val="24"/>
          <w:szCs w:val="24"/>
          <w:highlight w:val="none"/>
        </w:rPr>
        <w:t xml:space="preserve">医院医保专家</w:t>
      </w:r>
      <w:r>
        <w:rPr>
          <w:rFonts w:hint="eastAsia" w:eastAsia="宋体" w:cs="宋体"/>
          <w:bCs/>
          <w:color w:val="auto"/>
          <w:sz w:val="24"/>
          <w:szCs w:val="24"/>
          <w:highlight w:val="none"/>
        </w:rPr>
        <w:t xml:space="preserve">等多方参与</w:t>
      </w:r>
      <w:r>
        <w:rPr>
          <w:rFonts w:eastAsia="宋体" w:cs="宋体"/>
          <w:bCs/>
          <w:color w:val="auto"/>
          <w:sz w:val="24"/>
          <w:szCs w:val="24"/>
          <w:highlight w:val="none"/>
        </w:rPr>
        <w:t xml:space="preserve">校准验证，</w:t>
      </w:r>
      <w:r>
        <w:rPr>
          <w:rFonts w:hint="eastAsia" w:eastAsia="宋体" w:cs="宋体"/>
          <w:bCs/>
          <w:color w:val="auto"/>
          <w:sz w:val="24"/>
          <w:szCs w:val="24"/>
          <w:highlight w:val="none"/>
        </w:rPr>
        <w:t xml:space="preserve">确保我</w:t>
      </w:r>
      <w:r>
        <w:rPr>
          <w:rFonts w:eastAsia="宋体" w:cs="宋体"/>
          <w:bCs/>
          <w:color w:val="auto"/>
          <w:sz w:val="24"/>
          <w:szCs w:val="24"/>
          <w:highlight w:val="none"/>
        </w:rPr>
        <w:t xml:space="preserve">市</w:t>
      </w:r>
      <w:r>
        <w:rPr>
          <w:rFonts w:hint="eastAsia" w:eastAsia="宋体" w:cs="宋体"/>
          <w:bCs/>
          <w:color w:val="auto"/>
          <w:sz w:val="24"/>
          <w:szCs w:val="24"/>
          <w:highlight w:val="none"/>
        </w:rPr>
        <w:t xml:space="preserve">“</w:t>
      </w:r>
      <w:r>
        <w:rPr>
          <w:rFonts w:eastAsia="宋体" w:cs="宋体"/>
          <w:bCs/>
          <w:color w:val="auto"/>
          <w:sz w:val="24"/>
          <w:szCs w:val="24"/>
          <w:highlight w:val="none"/>
        </w:rPr>
        <w:t xml:space="preserve">两库</w:t>
      </w:r>
      <w:r>
        <w:rPr>
          <w:rFonts w:hint="eastAsia" w:eastAsia="宋体" w:cs="宋体"/>
          <w:bCs/>
          <w:color w:val="auto"/>
          <w:sz w:val="24"/>
          <w:szCs w:val="24"/>
          <w:highlight w:val="none"/>
        </w:rPr>
        <w:t xml:space="preserve">”</w:t>
      </w:r>
      <w:r>
        <w:rPr>
          <w:rFonts w:eastAsia="宋体" w:cs="宋体"/>
          <w:bCs/>
          <w:color w:val="auto"/>
          <w:sz w:val="24"/>
          <w:szCs w:val="24"/>
          <w:highlight w:val="none"/>
        </w:rPr>
        <w:t xml:space="preserve">与国家、省标准</w:t>
      </w:r>
      <w:r>
        <w:rPr>
          <w:rFonts w:hint="eastAsia" w:eastAsia="宋体" w:cs="宋体"/>
          <w:bCs/>
          <w:color w:val="auto"/>
          <w:sz w:val="24"/>
          <w:szCs w:val="24"/>
          <w:highlight w:val="none"/>
        </w:rPr>
        <w:t xml:space="preserve">有效</w:t>
      </w:r>
      <w:r>
        <w:rPr>
          <w:rFonts w:eastAsia="宋体" w:cs="宋体"/>
          <w:bCs/>
          <w:color w:val="auto"/>
          <w:sz w:val="24"/>
          <w:szCs w:val="24"/>
          <w:highlight w:val="none"/>
        </w:rPr>
        <w:t xml:space="preserve">衔接。</w:t>
      </w:r>
      <w:r>
        <w:rPr>
          <w:rFonts w:hint="eastAsia" w:eastAsia="宋体" w:cs="宋体"/>
          <w:b/>
          <w:color w:val="auto"/>
          <w:sz w:val="24"/>
          <w:szCs w:val="24"/>
          <w:highlight w:val="none"/>
        </w:rPr>
        <w:t xml:space="preserve">（优先项）</w:t>
      </w:r>
      <w:r/>
    </w:p>
    <w:p>
      <w:pPr>
        <w:contextualSpacing/>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（二）</w:t>
      </w:r>
      <w:r>
        <w:rPr>
          <w:rFonts w:eastAsia="宋体" w:cs="宋体"/>
          <w:b/>
          <w:color w:val="auto"/>
          <w:sz w:val="24"/>
          <w:szCs w:val="24"/>
          <w:highlight w:val="none"/>
        </w:rPr>
        <w:t xml:space="preserve">建</w:t>
      </w:r>
      <w:r>
        <w:rPr>
          <w:rFonts w:hint="eastAsia" w:eastAsia="宋体" w:cs="宋体"/>
          <w:b/>
          <w:color w:val="auto"/>
          <w:sz w:val="24"/>
          <w:szCs w:val="24"/>
          <w:highlight w:val="none"/>
        </w:rPr>
        <w:t xml:space="preserve">立事前精细提醒机制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2.搭建医保与医疗机构间的信息共享联动平台，运用本地“两库”配置事前规则，并与医疗机构端信息系统无缝对接，对医生不合理诊疗行为进行实时提醒。</w:t>
      </w:r>
      <w:r>
        <w:rPr>
          <w:rFonts w:hint="eastAsia" w:eastAsia="宋体" w:cs="宋体"/>
          <w:b/>
          <w:color w:val="auto"/>
          <w:sz w:val="24"/>
          <w:szCs w:val="24"/>
          <w:highlight w:val="none"/>
        </w:rPr>
        <w:t xml:space="preserve">（优先项）</w:t>
      </w:r>
      <w:r/>
    </w:p>
    <w:p>
      <w:pPr>
        <w:contextualSpacing/>
        <w:ind w:firstLine="482"/>
        <w:spacing w:line="360" w:lineRule="auto"/>
        <w:rPr>
          <w:rFonts w:eastAsia="宋体" w:cs="宋体"/>
          <w:b/>
          <w:color w:val="auto"/>
          <w:sz w:val="24"/>
          <w:szCs w:val="24"/>
          <w:highlight w:val="none"/>
        </w:rPr>
      </w:pPr>
      <w:r>
        <w:rPr>
          <w:rFonts w:hint="eastAsia" w:eastAsia="宋体" w:cs="宋体"/>
          <w:bCs/>
          <w:color w:val="auto"/>
          <w:sz w:val="24"/>
          <w:szCs w:val="24"/>
          <w:highlight w:val="none"/>
        </w:rPr>
        <w:t xml:space="preserve">3.结合南通监管工作实际，有针对性地开发相关场景监控模块，如重点参保人监测预警（或药品用量监测预警，二者选其一）、代购药场景监控等，多方位提升事前预警能力。</w:t>
      </w:r>
      <w:r>
        <w:rPr>
          <w:rFonts w:hint="eastAsia" w:eastAsia="宋体" w:cs="宋体"/>
          <w:b/>
          <w:color w:val="auto"/>
          <w:sz w:val="24"/>
          <w:szCs w:val="24"/>
          <w:highlight w:val="none"/>
        </w:rPr>
        <w:t xml:space="preserve">（优先项）</w:t>
      </w:r>
      <w:r/>
    </w:p>
    <w:p>
      <w:pPr>
        <w:contextualSpacing/>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（三）建立事中监控预警机制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4.建立医疗机构端出院预审核机制，在患者出院结算前一节点，按照审核规范对当次住院全部费用进行预审核，确保其最终结算符合医保政策规定。</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5.基于医疗机构归集的全量数据，构建“诊疗行为－费用结算－医疗文书”三维关联分析模型，精准发现问题，及时阻断违规行为。</w:t>
      </w:r>
      <w:r/>
    </w:p>
    <w:p>
      <w:pPr>
        <w:contextualSpacing/>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（四）建立事后指标分析机制</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6.开发自查自纠系统模型，支持医疗机构按照下发任务开展数据筛查，按照统一格式上传自查结果，同时支持医院自主配置自查模板、生成整改报告。</w:t>
      </w:r>
      <w:r>
        <w:rPr>
          <w:rFonts w:hint="eastAsia" w:eastAsia="宋体" w:cs="宋体"/>
          <w:b/>
          <w:color w:val="auto"/>
          <w:sz w:val="24"/>
          <w:szCs w:val="24"/>
          <w:highlight w:val="none"/>
        </w:rPr>
        <w:t xml:space="preserve">（优先项）</w:t>
      </w:r>
      <w:r/>
    </w:p>
    <w:p>
      <w:pPr>
        <w:contextualSpacing/>
        <w:ind w:firstLine="482"/>
        <w:spacing w:line="360" w:lineRule="auto"/>
        <w:rPr>
          <w:rFonts w:hint="eastAsia" w:ascii="宋体" w:hAnsi="宋体" w:eastAsia="宋体" w:cs="宋体"/>
          <w:bCs/>
          <w:color w:val="auto"/>
          <w:sz w:val="24"/>
          <w:szCs w:val="24"/>
          <w:highlight w:val="none"/>
        </w:rPr>
      </w:pPr>
      <w:r>
        <w:rPr>
          <w:rFonts w:hint="eastAsia" w:eastAsia="宋体" w:cs="宋体"/>
          <w:bCs/>
          <w:color w:val="auto"/>
          <w:sz w:val="24"/>
          <w:szCs w:val="24"/>
          <w:highlight w:val="none"/>
        </w:rPr>
        <w:t xml:space="preserve">7.围绕医院医保运行指标（如次均门诊费用增长、次均住院费用增长）以及DRG运行指标（如</w:t>
      </w:r>
      <w:r>
        <w:rPr>
          <w:rFonts w:eastAsia="宋体" w:cs="宋体"/>
          <w:bCs/>
          <w:color w:val="auto"/>
          <w:sz w:val="24"/>
          <w:szCs w:val="24"/>
          <w:highlight w:val="none"/>
        </w:rPr>
        <w:t xml:space="preserve">高编高套组数占比、组内费用变异系数</w:t>
      </w:r>
      <w:r>
        <w:rPr>
          <w:rFonts w:hint="eastAsia" w:eastAsia="宋体" w:cs="宋体"/>
          <w:bCs/>
          <w:color w:val="auto"/>
          <w:sz w:val="24"/>
          <w:szCs w:val="24"/>
          <w:highlight w:val="none"/>
        </w:rPr>
        <w:t xml:space="preserve">），建立多维度指标监控体系，对医院医保基金使用情况进行动态监测与数据分析</w:t>
      </w:r>
      <w:r>
        <w:rPr>
          <w:rFonts w:hint="eastAsia" w:ascii="宋体" w:hAnsi="宋体" w:eastAsia="宋体" w:cs="宋体"/>
          <w:bCs/>
          <w:color w:val="auto"/>
          <w:sz w:val="24"/>
          <w:szCs w:val="24"/>
          <w:highlight w:val="none"/>
        </w:rPr>
        <w:t xml:space="preserve">。</w:t>
      </w:r>
      <w:r/>
    </w:p>
    <w:p>
      <w:pPr>
        <w:pStyle w:val="1010"/>
        <w:ind w:firstLine="482"/>
        <w:keepLines w:val="0"/>
        <w:keepNext w:val="0"/>
        <w:spacing w:line="360" w:lineRule="auto"/>
        <w:rPr>
          <w:rFonts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五</w:t>
      </w:r>
      <w:r>
        <w:rPr>
          <w:rFonts w:ascii="Times New Roman" w:hAnsi="Times New Roman" w:eastAsia="宋体" w:cs="宋体"/>
          <w:bCs/>
          <w:color w:val="auto"/>
          <w:sz w:val="24"/>
          <w:szCs w:val="24"/>
          <w:highlight w:val="none"/>
        </w:rPr>
        <w:t xml:space="preserve">、</w:t>
      </w:r>
      <w:r>
        <w:rPr>
          <w:rFonts w:hint="eastAsia" w:ascii="Times New Roman" w:hAnsi="Times New Roman" w:eastAsia="宋体" w:cs="宋体"/>
          <w:bCs/>
          <w:color w:val="auto"/>
          <w:sz w:val="24"/>
          <w:szCs w:val="24"/>
          <w:highlight w:val="none"/>
        </w:rPr>
        <w:t xml:space="preserve">服务周期</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本项目总执行周期为12个月，包括6个月的开发建设与6个月的跟踪维护。项目最终验收合格后，供应商向采购人提供为期1年的免费运维服务。</w:t>
      </w:r>
      <w:r/>
    </w:p>
    <w:p>
      <w:pPr>
        <w:pStyle w:val="1010"/>
        <w:ind w:firstLine="482"/>
        <w:keepLines w:val="0"/>
        <w:keepNext w:val="0"/>
        <w:spacing w:line="360" w:lineRule="auto"/>
        <w:rPr>
          <w:rFonts w:hint="eastAsia" w:eastAsia="宋体" w:cs="宋体"/>
          <w:bCs/>
          <w:color w:val="auto"/>
          <w:sz w:val="24"/>
          <w:szCs w:val="24"/>
          <w:highlight w:val="none"/>
        </w:rPr>
      </w:pPr>
      <w:r/>
      <w:bookmarkStart w:id="47" w:name="_Toc10745"/>
      <w:r>
        <w:rPr>
          <w:rFonts w:hint="eastAsia" w:eastAsia="宋体" w:cs="宋体"/>
          <w:bCs/>
          <w:color w:val="auto"/>
          <w:sz w:val="24"/>
          <w:szCs w:val="24"/>
          <w:highlight w:val="none"/>
        </w:rPr>
        <w:t xml:space="preserve">六、验收方式</w:t>
      </w:r>
      <w:r/>
    </w:p>
    <w:p>
      <w:pPr>
        <w:contextualSpacing/>
        <w:ind w:firstLine="482"/>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1.履约验收主体：南通市医疗保障局。</w:t>
      </w:r>
      <w:r/>
    </w:p>
    <w:p>
      <w:pPr>
        <w:contextualSpacing/>
        <w:ind w:firstLine="482"/>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2.履约验收时间：产品上线，试点机构阶段性完成后，中标人申请验收，采购人收到验收申请1个月内组织开展项目验收。</w:t>
      </w:r>
      <w:r/>
    </w:p>
    <w:p>
      <w:pPr>
        <w:contextualSpacing/>
        <w:ind w:firstLine="482"/>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3.履约验收方式：采购人组织项目验收。</w:t>
      </w:r>
      <w:r/>
    </w:p>
    <w:p>
      <w:pPr>
        <w:contextualSpacing/>
        <w:ind w:firstLine="482"/>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4.履约验收程序：完成本项目所有工作内容后，由采购人组织验收。                                </w:t>
      </w:r>
      <w:r/>
    </w:p>
    <w:p>
      <w:pPr>
        <w:contextualSpacing/>
        <w:ind w:firstLine="482"/>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5.履约验收内容：核实中标人是否按照采购合同及采购人要求完成履约。</w:t>
      </w:r>
      <w:r/>
    </w:p>
    <w:p>
      <w:pPr>
        <w:contextualSpacing/>
        <w:ind w:firstLine="482"/>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6.履约验收标准：中标人应按合同要求在规定时间内完成项目实施工作，达到验收标准并提请验收。采购人按照国家及行业相关标准、招标文件规定及相关部门的相关规定对中标人完成情况进行验收。</w:t>
      </w:r>
      <w:r/>
    </w:p>
    <w:p>
      <w:pPr>
        <w:pStyle w:val="1010"/>
        <w:ind w:firstLine="482"/>
        <w:keepLines w:val="0"/>
        <w:keepNext w:val="0"/>
        <w:spacing w:line="360" w:lineRule="auto"/>
        <w:rPr>
          <w:rFonts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七、人员及相关要求</w:t>
      </w:r>
      <w:bookmarkEnd w:id="47"/>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1.供应商须对本项目中的所有服务进行报价，不得拆开报价或只对其中的部分内容进行报价。</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供应商应以人民币报价，报价总价为服务期限内完成南通市医疗保障基金智能监管改革试点建设项目所需的所有费用，包括：人工费（包括人员工资、社会保险费用、福利费、加班费、人身意外伤害险等）、设备工具费（包括电脑、打印机、执法记录仪器等）、交通费、通信费、差旅费、税费及政策性文件规定和合同所包含的所有风险、责任等各项应有费用。</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3.供应商在报价时应考虑各种风险因素，相关风险因素费用包含在总报价中。风险因素包括遇重大检查、突发情况等。</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4.如需工作人员加班的，加班费由供应商另行支付，采购人不再额外支付。</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5.供应商成交后应</w:t>
      </w:r>
      <w:r>
        <w:rPr>
          <w:rFonts w:eastAsia="宋体" w:cs="宋体"/>
          <w:bCs/>
          <w:color w:val="auto"/>
          <w:sz w:val="24"/>
          <w:szCs w:val="24"/>
          <w:highlight w:val="none"/>
        </w:rPr>
        <w:t xml:space="preserve">派驻具有良好专业理论和技能的专业人员</w:t>
      </w:r>
      <w:r>
        <w:rPr>
          <w:rFonts w:hint="eastAsia" w:eastAsia="宋体" w:cs="宋体"/>
          <w:bCs/>
          <w:color w:val="auto"/>
          <w:sz w:val="24"/>
          <w:szCs w:val="24"/>
          <w:highlight w:val="none"/>
        </w:rPr>
        <w:t xml:space="preserve">进行服务，其中长期驻场跟踪服务人员不少于1名。</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6.合同签订之日起15日内，供应商拟派人员应全部到位。经办人员须固定，不得擅自更换，如因特殊原因更换人员，应事先征得采购人同意后实施。</w:t>
      </w:r>
      <w:r/>
    </w:p>
    <w:p>
      <w:pPr>
        <w:contextualSpacing/>
        <w:ind w:firstLine="482"/>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7.供应商应确保数据安全与隐私保护相关规定，明确数据采集、传输、存储、使用全过程的安全责任主体和技术措施。</w:t>
      </w:r>
      <w:r/>
    </w:p>
    <w:p>
      <w:pPr>
        <w:pStyle w:val="1010"/>
        <w:ind w:firstLine="482"/>
        <w:keepLines w:val="0"/>
        <w:keepNext w:val="0"/>
        <w:spacing w:line="360" w:lineRule="auto"/>
        <w:rPr>
          <w:rFonts w:ascii="Times New Roman" w:hAnsi="Times New Roman" w:eastAsia="宋体" w:cs="宋体"/>
          <w:bCs/>
          <w:color w:val="auto"/>
          <w:sz w:val="24"/>
          <w:szCs w:val="24"/>
          <w:highlight w:val="none"/>
        </w:rPr>
      </w:pPr>
      <w:r>
        <w:rPr>
          <w:rFonts w:hint="eastAsia" w:ascii="Times New Roman" w:hAnsi="Times New Roman" w:eastAsia="宋体" w:cs="宋体"/>
          <w:bCs/>
          <w:color w:val="auto"/>
          <w:sz w:val="24"/>
          <w:szCs w:val="24"/>
          <w:highlight w:val="none"/>
        </w:rPr>
        <w:t xml:space="preserve">八、特别说明</w:t>
      </w:r>
      <w:r/>
    </w:p>
    <w:p>
      <w:pPr>
        <w:contextualSpacing/>
        <w:ind w:firstLine="482"/>
        <w:spacing w:line="360" w:lineRule="auto"/>
        <w:rPr>
          <w:rFonts w:eastAsia="宋体" w:cs="宋体"/>
          <w:b/>
          <w:color w:val="auto"/>
          <w:sz w:val="36"/>
          <w:szCs w:val="36"/>
          <w:highlight w:val="none"/>
        </w:rPr>
      </w:pPr>
      <w:r/>
      <w:bookmarkStart w:id="48" w:name="_Toc1997"/>
      <w:r/>
      <w:bookmarkStart w:id="49" w:name="_Toc28760"/>
      <w:r>
        <w:rPr>
          <w:rFonts w:hint="eastAsia" w:eastAsia="宋体" w:cs="宋体"/>
          <w:b/>
          <w:bCs w:val="0"/>
          <w:color w:val="auto"/>
          <w:sz w:val="24"/>
          <w:szCs w:val="24"/>
          <w:highlight w:val="none"/>
        </w:rPr>
        <w:t xml:space="preserve">本项目需求所列项目建设内容是根据我市监管工作实际提出的需求，供应商可根据自身技术优势与实施经验，从项目建设内容中，选取若干个重点建设点（重点考虑优先项）组成实施方案进行投标，评审将重点关注所选建设点与总体目标的契合度、技术路线的可行性以及实施路径的科学性。</w:t>
      </w:r>
      <w:r>
        <w:rPr>
          <w:rFonts w:eastAsia="宋体" w:cs="宋体"/>
          <w:b/>
          <w:color w:val="auto"/>
          <w:sz w:val="36"/>
          <w:szCs w:val="36"/>
          <w:highlight w:val="none"/>
        </w:rPr>
        <w:br w:type="page" w:clear="all"/>
      </w:r>
      <w:r/>
    </w:p>
    <w:p>
      <w:pPr>
        <w:jc w:val="center"/>
        <w:spacing w:line="360" w:lineRule="auto"/>
        <w:tabs>
          <w:tab w:val="left" w:pos="1050" w:leader="none"/>
          <w:tab w:val="right" w:pos="9402" w:leader="dot"/>
        </w:tabs>
        <w:rPr>
          <w:rFonts w:eastAsia="宋体" w:cs="宋体"/>
          <w:color w:val="auto"/>
          <w:highlight w:val="none"/>
        </w:rPr>
        <w:outlineLvl w:val="0"/>
      </w:pPr>
      <w:r>
        <w:rPr>
          <w:rFonts w:hint="eastAsia" w:eastAsia="宋体" w:cs="宋体"/>
          <w:b/>
          <w:color w:val="auto"/>
          <w:sz w:val="36"/>
          <w:szCs w:val="36"/>
          <w:highlight w:val="none"/>
        </w:rPr>
        <w:t xml:space="preserve">第四章 评审方法和程序</w:t>
      </w:r>
      <w:bookmarkEnd w:id="46"/>
      <w:r/>
      <w:bookmarkEnd w:id="48"/>
      <w:r/>
      <w:bookmarkEnd w:id="49"/>
      <w:r/>
      <w:r/>
    </w:p>
    <w:p>
      <w:pPr>
        <w:ind w:firstLine="482"/>
        <w:spacing w:line="360" w:lineRule="auto"/>
        <w:rPr>
          <w:rFonts w:eastAsia="宋体" w:cs="宋体"/>
          <w:b/>
          <w:color w:val="auto"/>
          <w:sz w:val="24"/>
          <w:szCs w:val="24"/>
          <w:highlight w:val="none"/>
        </w:rPr>
        <w:outlineLvl w:val="1"/>
      </w:pPr>
      <w:r/>
      <w:bookmarkStart w:id="50" w:name="_Toc754"/>
      <w:r>
        <w:rPr>
          <w:rFonts w:hint="eastAsia" w:eastAsia="宋体" w:cs="宋体"/>
          <w:b/>
          <w:color w:val="auto"/>
          <w:sz w:val="24"/>
          <w:szCs w:val="24"/>
          <w:highlight w:val="none"/>
        </w:rPr>
        <w:t xml:space="preserve">一、招标人委托招标代理机构组织招标</w:t>
      </w:r>
      <w:bookmarkEnd w:id="50"/>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1、本项目采用综合评分法。成立评标委员会小组，评标委员会由招标人代表和评审专家组成，成员人数应当为5人以上单数，其中评审专家不得少于成员总数的三分之二。</w:t>
      </w:r>
      <w:r/>
    </w:p>
    <w:p>
      <w:pPr>
        <w:ind w:firstLine="482"/>
        <w:spacing w:line="360" w:lineRule="auto"/>
        <w:rPr>
          <w:rFonts w:eastAsia="宋体" w:cs="宋体"/>
          <w:b/>
          <w:color w:val="auto"/>
          <w:sz w:val="24"/>
          <w:szCs w:val="24"/>
          <w:highlight w:val="none"/>
        </w:rPr>
        <w:outlineLvl w:val="1"/>
      </w:pPr>
      <w:r/>
      <w:bookmarkStart w:id="51" w:name="_Toc1911"/>
      <w:r>
        <w:rPr>
          <w:rFonts w:hint="eastAsia" w:eastAsia="宋体" w:cs="宋体"/>
          <w:b/>
          <w:color w:val="auto"/>
          <w:sz w:val="24"/>
          <w:szCs w:val="24"/>
          <w:highlight w:val="none"/>
        </w:rPr>
        <w:t xml:space="preserve">二、开标</w:t>
      </w:r>
      <w:bookmarkEnd w:id="51"/>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w:t>
      </w:r>
      <w:r>
        <w:rPr>
          <w:rFonts w:hint="eastAsia" w:eastAsia="宋体" w:cs="宋体"/>
          <w:bCs/>
          <w:color w:val="auto"/>
          <w:sz w:val="24"/>
          <w:szCs w:val="24"/>
          <w:highlight w:val="none"/>
        </w:rPr>
        <w:t xml:space="preserve">不见面远程开标模式：开标当天各投标人在各自地点通过苏采云系统及时登录不见面开标大厅，参加投标活动。</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2、招标代理机构主持开标并记录，及时处理投标人代表提出的询问或者回避申请。</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3、投标人不足3家的不得开标。</w:t>
      </w:r>
      <w:r/>
    </w:p>
    <w:p>
      <w:pPr>
        <w:ind w:firstLine="482"/>
        <w:spacing w:line="360" w:lineRule="auto"/>
        <w:rPr>
          <w:rFonts w:eastAsia="宋体" w:cs="宋体"/>
          <w:b/>
          <w:color w:val="auto"/>
          <w:sz w:val="24"/>
          <w:szCs w:val="24"/>
          <w:highlight w:val="none"/>
        </w:rPr>
        <w:outlineLvl w:val="1"/>
      </w:pPr>
      <w:r/>
      <w:bookmarkStart w:id="52" w:name="_Toc16633"/>
      <w:r>
        <w:rPr>
          <w:rFonts w:hint="eastAsia" w:eastAsia="宋体" w:cs="宋体"/>
          <w:b/>
          <w:color w:val="auto"/>
          <w:sz w:val="24"/>
          <w:szCs w:val="24"/>
          <w:highlight w:val="none"/>
        </w:rPr>
        <w:t xml:space="preserve">三、资格审查</w:t>
      </w:r>
      <w:bookmarkEnd w:id="52"/>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1、开标后，招标人及其委托的采购代理机构依据相关法律政策的规定，根据招标文件载明的资格审查要求，对投标人的资格进行审查。</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2、资格审查合格的投标人进入评标。</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3、合格投标人不足3家的，不得评标。</w:t>
      </w:r>
      <w:r/>
    </w:p>
    <w:p>
      <w:pPr>
        <w:ind w:firstLine="482"/>
        <w:spacing w:line="360" w:lineRule="auto"/>
        <w:rPr>
          <w:rFonts w:eastAsia="宋体" w:cs="宋体"/>
          <w:b/>
          <w:color w:val="auto"/>
          <w:sz w:val="24"/>
          <w:szCs w:val="24"/>
          <w:highlight w:val="none"/>
        </w:rPr>
        <w:outlineLvl w:val="1"/>
      </w:pPr>
      <w:r/>
      <w:bookmarkStart w:id="53" w:name="_Toc1140"/>
      <w:r>
        <w:rPr>
          <w:rFonts w:hint="eastAsia" w:eastAsia="宋体" w:cs="宋体"/>
          <w:b/>
          <w:color w:val="auto"/>
          <w:sz w:val="24"/>
          <w:szCs w:val="24"/>
          <w:highlight w:val="none"/>
        </w:rPr>
        <w:t xml:space="preserve">四、评标</w:t>
      </w:r>
      <w:bookmarkEnd w:id="53"/>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1、评标时间</w:t>
      </w:r>
      <w:r>
        <w:rPr>
          <w:rFonts w:hint="eastAsia" w:eastAsia="宋体" w:cs="宋体"/>
          <w:b/>
          <w:color w:val="auto"/>
          <w:sz w:val="24"/>
          <w:szCs w:val="24"/>
          <w:highlight w:val="none"/>
        </w:rPr>
        <w:t xml:space="preserve">：资格审查结束以后。</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2、招标代理机构负责组织评标工作，并履行下列职责：</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（1）核对评审专家身份和招标人代表授权函，对评审专家在招标采购活动中的职责履行情况予以记录，并及时将有关违法违规行为向相关部门报告。</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（2）宣布评标纪律。</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（3）公布投标人名单，告知评审专家应当回避的情形。</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（4）组织评标委员会推选评标组长，招标人代表不得担任组长。</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（6）根据评标委员会的要求介绍采购相关政策法规、招标文件。</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（8）核对评标结果，有下列规定情形的，要求评标委员会复核或者书面说明理由，评标委员会拒绝的，则予以书面记录并向本级相关部门报告：</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① 分值汇总计算错误的；</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② 分项评分超出评分标准范围的；</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③ 评标委员会成员对客观评审因素评分不一致的；</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④ 经评标委员会认定评分畸高、畸低的。</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（10）处理与评标有关的其他事项。</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3、评标委员会负责具体评标事务：</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4、评标委员会成员独立履行以下职责与义务：</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（1）遵纪守法，客观、公正、廉洁地履行职责；</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（2）审查合格投标人的投标文件是否实质性响应招标文件要求，并做出评价；</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（3）按照招标文件规定的评标办法和评标标准进行评标，对评审意见承担个人责任；</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（4）可以要求投标人对投标文件有关事项做出解释或澄清；</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（5）对评标过程和结果，以及投标人的商业秘密保密；</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（6）配合相关部门的投诉处理工作；</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（7）配合招标人或招标代理机构答复投标人提出的质疑。</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eastAsia="宋体" w:cs="宋体"/>
          <w:b/>
          <w:color w:val="auto"/>
          <w:sz w:val="24"/>
          <w:szCs w:val="24"/>
          <w:highlight w:val="none"/>
        </w:rPr>
      </w:pPr>
      <w:r>
        <w:rPr>
          <w:rFonts w:hint="eastAsia" w:eastAsia="宋体" w:cs="宋体"/>
          <w:color w:val="auto"/>
          <w:sz w:val="24"/>
          <w:szCs w:val="24"/>
          <w:highlight w:val="none"/>
        </w:rPr>
        <w:t xml:space="preserve">7、评审期间，合格投标人的投标文件仍有可能被评标委员会根据规定判为无效投标。</w:t>
      </w:r>
      <w:r/>
    </w:p>
    <w:p>
      <w:pPr>
        <w:ind w:firstLine="480"/>
        <w:spacing w:line="360" w:lineRule="auto"/>
        <w:rPr>
          <w:rFonts w:eastAsia="宋体" w:cs="宋体"/>
          <w:b/>
          <w:color w:val="auto"/>
          <w:sz w:val="24"/>
          <w:szCs w:val="24"/>
          <w:highlight w:val="none"/>
        </w:rPr>
      </w:pPr>
      <w:r>
        <w:rPr>
          <w:rFonts w:hint="eastAsia" w:eastAsia="宋体" w:cs="宋体"/>
          <w:color w:val="auto"/>
          <w:sz w:val="24"/>
          <w:szCs w:val="24"/>
          <w:highlight w:val="none"/>
        </w:rPr>
        <w:t xml:space="preserve">8、在投标文件的评审、澄清、评价和比较以及授予合同的过程中，投标人对招标人和评标委员会成员有施加影响的任何行为，都将取消其可能的中标资格。</w:t>
      </w:r>
      <w:r/>
    </w:p>
    <w:p>
      <w:pPr>
        <w:ind w:firstLine="482"/>
        <w:spacing w:line="360" w:lineRule="auto"/>
        <w:rPr>
          <w:rFonts w:eastAsia="宋体" w:cs="宋体"/>
          <w:b/>
          <w:bCs/>
          <w:color w:val="auto"/>
          <w:sz w:val="24"/>
          <w:szCs w:val="24"/>
          <w:highlight w:val="none"/>
        </w:rPr>
        <w:outlineLvl w:val="1"/>
      </w:pPr>
      <w:r/>
      <w:bookmarkStart w:id="54" w:name="_Toc23150"/>
      <w:r>
        <w:rPr>
          <w:rFonts w:hint="eastAsia" w:eastAsia="宋体" w:cs="宋体"/>
          <w:b/>
          <w:bCs/>
          <w:color w:val="auto"/>
          <w:sz w:val="24"/>
          <w:szCs w:val="24"/>
          <w:highlight w:val="none"/>
        </w:rPr>
        <w:t xml:space="preserve">五、评审原则</w:t>
      </w:r>
      <w:bookmarkEnd w:id="54"/>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1、本项目采用</w:t>
      </w:r>
      <w:r>
        <w:rPr>
          <w:rFonts w:hint="eastAsia" w:eastAsia="宋体" w:cs="宋体"/>
          <w:color w:val="auto"/>
          <w:sz w:val="24"/>
          <w:szCs w:val="24"/>
          <w:highlight w:val="none"/>
          <w:u w:val="single"/>
        </w:rPr>
        <w:t xml:space="preserve">  </w:t>
      </w:r>
      <w:r>
        <w:rPr>
          <w:rFonts w:hint="eastAsia" w:eastAsia="宋体" w:cs="宋体"/>
          <w:b/>
          <w:color w:val="auto"/>
          <w:sz w:val="24"/>
          <w:szCs w:val="24"/>
          <w:highlight w:val="none"/>
          <w:u w:val="single"/>
        </w:rPr>
        <w:t xml:space="preserve">综合评分法</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，即指投标文件满足本项目招标文件全部实质性要求，且按照评审因素的量化指标，经评审后得分最高的投标人推荐为中标人的评标方法。</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4、对投标文件的评审判定，只依据投标文件内容本身，不依靠开标后任何外来证明文件。</w:t>
      </w:r>
      <w:r/>
    </w:p>
    <w:p>
      <w:pPr>
        <w:ind w:firstLine="482"/>
        <w:spacing w:line="360" w:lineRule="auto"/>
        <w:rPr>
          <w:rFonts w:eastAsia="宋体" w:cs="宋体"/>
          <w:b/>
          <w:bCs/>
          <w:color w:val="auto"/>
          <w:sz w:val="24"/>
          <w:szCs w:val="24"/>
          <w:highlight w:val="none"/>
        </w:rPr>
        <w:outlineLvl w:val="1"/>
      </w:pPr>
      <w:r/>
      <w:bookmarkStart w:id="55" w:name="_Toc26093"/>
      <w:r>
        <w:rPr>
          <w:rFonts w:hint="eastAsia" w:eastAsia="宋体" w:cs="宋体"/>
          <w:b/>
          <w:bCs/>
          <w:color w:val="auto"/>
          <w:sz w:val="24"/>
          <w:szCs w:val="24"/>
          <w:highlight w:val="none"/>
        </w:rPr>
        <w:t xml:space="preserve">六、评审方法</w:t>
      </w:r>
      <w:bookmarkEnd w:id="55"/>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1、评标程序：</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资格符合性评审——商务技术标评审——价格标评审——确定中标候选人。</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本次资格审查采用资格后审，各投标人资格审查通过后方能进入商务技术标的开标。先开商务技术标，商务技术标打分结束后再开价格标。</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2、评标委员会将仅对按本招标文件载明的方法与规定，为实质上响应招标文件要求的投标文件评审并进行评价和比较。</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3、本次项目的技术标和价格标评审总分值为100分。两部分评审因素比重如下：</w:t>
      </w:r>
      <w:r/>
    </w:p>
    <w:p>
      <w:pPr>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商务技术标分值占总分值的比重为</w:t>
      </w:r>
      <w:r>
        <w:rPr>
          <w:rFonts w:hint="eastAsia" w:eastAsia="宋体" w:cs="宋体"/>
          <w:b/>
          <w:bCs/>
          <w:color w:val="auto"/>
          <w:sz w:val="24"/>
          <w:szCs w:val="24"/>
          <w:highlight w:val="none"/>
          <w:u w:val="single"/>
        </w:rPr>
        <w:t xml:space="preserve">90%</w:t>
      </w:r>
      <w:r>
        <w:rPr>
          <w:rFonts w:hint="eastAsia" w:eastAsia="宋体" w:cs="宋体"/>
          <w:b/>
          <w:bCs/>
          <w:color w:val="auto"/>
          <w:sz w:val="24"/>
          <w:szCs w:val="24"/>
          <w:highlight w:val="none"/>
        </w:rPr>
        <w:t xml:space="preserve">（权重）（计算结果均四舍五入保留两位小数）；</w:t>
      </w:r>
      <w:r/>
    </w:p>
    <w:p>
      <w:pPr>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价格标分值占总分值的比重为</w:t>
      </w:r>
      <w:r>
        <w:rPr>
          <w:rFonts w:hint="eastAsia" w:eastAsia="宋体" w:cs="宋体"/>
          <w:b/>
          <w:bCs/>
          <w:color w:val="auto"/>
          <w:sz w:val="24"/>
          <w:szCs w:val="24"/>
          <w:highlight w:val="none"/>
          <w:u w:val="single"/>
        </w:rPr>
        <w:t xml:space="preserve">10%</w:t>
      </w:r>
      <w:r>
        <w:rPr>
          <w:rFonts w:hint="eastAsia" w:eastAsia="宋体" w:cs="宋体"/>
          <w:b/>
          <w:bCs/>
          <w:color w:val="auto"/>
          <w:sz w:val="24"/>
          <w:szCs w:val="24"/>
          <w:highlight w:val="none"/>
        </w:rPr>
        <w:t xml:space="preserve">（权重）（计算结果均四舍五入保留两位小数）； </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4、评标委员会严格按照招标文件的要求、条件、评分标准，对投标人所提供服务的先进性、可靠性、售后服务承诺、质量保证承诺等实质性响应内容进行比较。</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6、商务技术分按评委的算术平均值计算（计算结果均四舍五入保留两位小数）。</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7、开启投标人的价格报价标，现场唱标后由投标人代表在苏采云系统确认。</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8、投标人的价格标评审得分直接计算取得，并与其商务技术标得分相加为该投标人的综合得分（计算结果均四舍五入保留两位小数）。</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9、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rPr>
          <w:rFonts w:eastAsia="宋体" w:cs="宋体"/>
          <w:b/>
          <w:bCs/>
          <w:color w:val="auto"/>
          <w:sz w:val="24"/>
          <w:szCs w:val="24"/>
          <w:highlight w:val="none"/>
        </w:rPr>
        <w:outlineLvl w:val="1"/>
      </w:pPr>
      <w:r/>
      <w:bookmarkStart w:id="56" w:name="_Toc3866"/>
      <w:r>
        <w:rPr>
          <w:rFonts w:hint="eastAsia" w:eastAsia="宋体" w:cs="宋体"/>
          <w:b/>
          <w:bCs/>
          <w:color w:val="auto"/>
          <w:sz w:val="24"/>
          <w:szCs w:val="24"/>
          <w:highlight w:val="none"/>
        </w:rPr>
        <w:t xml:space="preserve">七、关于投标价格评审</w:t>
      </w:r>
      <w:bookmarkEnd w:id="56"/>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1、针对投标价格实质响应的评审</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2、针对投标价格合理性的评审</w:t>
      </w:r>
      <w:r/>
    </w:p>
    <w:p>
      <w:pPr>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p>
    <w:p>
      <w:pPr>
        <w:ind w:firstLine="482"/>
        <w:spacing w:line="360" w:lineRule="auto"/>
        <w:rPr>
          <w:rFonts w:eastAsia="宋体" w:cs="宋体"/>
          <w:color w:val="auto"/>
          <w:sz w:val="24"/>
          <w:szCs w:val="24"/>
          <w:highlight w:val="none"/>
        </w:rPr>
        <w:outlineLvl w:val="1"/>
      </w:pPr>
      <w:r/>
      <w:bookmarkStart w:id="57" w:name="_Toc5314"/>
      <w:r>
        <w:rPr>
          <w:rFonts w:hint="eastAsia" w:eastAsia="宋体" w:cs="宋体"/>
          <w:b/>
          <w:bCs/>
          <w:color w:val="auto"/>
          <w:sz w:val="24"/>
          <w:szCs w:val="24"/>
          <w:highlight w:val="none"/>
        </w:rPr>
        <w:t xml:space="preserve">八、评审评分项</w:t>
      </w:r>
      <w:bookmarkEnd w:id="57"/>
      <w:r>
        <w:rPr>
          <w:rFonts w:hint="eastAsia" w:eastAsia="宋体" w:cs="宋体"/>
          <w:b/>
          <w:bCs/>
          <w:color w:val="auto"/>
          <w:sz w:val="24"/>
          <w:szCs w:val="24"/>
          <w:highlight w:val="none"/>
        </w:rPr>
        <w:t xml:space="preserve"> </w:t>
      </w:r>
      <w:r/>
    </w:p>
    <w:p>
      <w:pPr>
        <w:contextualSpacing/>
        <w:ind w:firstLine="482"/>
        <w:spacing w:line="360" w:lineRule="auto"/>
        <w:rPr>
          <w:rFonts w:eastAsia="宋体" w:cs="宋体"/>
          <w:b/>
          <w:color w:val="auto"/>
          <w:sz w:val="24"/>
          <w:szCs w:val="24"/>
          <w:highlight w:val="none"/>
        </w:rPr>
        <w:outlineLvl w:val="2"/>
      </w:pPr>
      <w:r>
        <w:rPr>
          <w:rFonts w:hint="eastAsia" w:eastAsia="宋体" w:cs="宋体"/>
          <w:b/>
          <w:color w:val="auto"/>
          <w:sz w:val="24"/>
          <w:szCs w:val="24"/>
          <w:highlight w:val="none"/>
        </w:rPr>
        <w:t xml:space="preserve">（一）商务技术标评分：（90分）</w:t>
      </w:r>
      <w:r/>
    </w:p>
    <w:tbl>
      <w:tblPr>
        <w:tblStyle w:val="923"/>
        <w:tblW w:w="8926" w:type="dxa"/>
        <w:jc w:val="center"/>
        <w:tblLayout w:type="autofit"/>
        <w:tblCellMar>
          <w:left w:w="108" w:type="dxa"/>
          <w:top w:w="0" w:type="dxa"/>
          <w:right w:w="108" w:type="dxa"/>
          <w:bottom w:w="0" w:type="dxa"/>
        </w:tblCellMar>
        <w:tblLook w:val="04A0" w:firstRow="1" w:lastRow="0" w:firstColumn="1" w:lastColumn="0" w:noHBand="0" w:noVBand="1"/>
      </w:tblPr>
      <w:tblGrid>
        <w:gridCol w:w="537"/>
        <w:gridCol w:w="537"/>
        <w:gridCol w:w="879"/>
        <w:gridCol w:w="586"/>
        <w:gridCol w:w="6387"/>
      </w:tblGrid>
      <w:tr>
        <w:trPr>
          <w:jc w:val="center"/>
        </w:trPr>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序号 </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评分项目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评分</w:t>
            </w:r>
            <w:r>
              <w:rPr>
                <w:rFonts w:hint="eastAsia" w:ascii="宋体" w:hAnsi="宋体" w:eastAsia="宋体" w:cs="宋体"/>
                <w:color w:val="auto"/>
                <w:sz w:val="20"/>
                <w:highlight w:val="none"/>
                <w:lang w:bidi="ar"/>
              </w:rPr>
              <w:br/>
            </w:r>
            <w:r>
              <w:rPr>
                <w:rFonts w:hint="eastAsia" w:ascii="宋体" w:hAnsi="宋体" w:eastAsia="宋体" w:cs="宋体"/>
                <w:color w:val="auto"/>
                <w:sz w:val="20"/>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评分标准</w:t>
            </w:r>
            <w:r/>
          </w:p>
        </w:tc>
      </w:tr>
      <w:tr>
        <w:trPr>
          <w:jc w:val="center"/>
          <w:trHeight w:val="90"/>
        </w:trPr>
        <w:tc>
          <w:tcPr>
            <w:tcBorders>
              <w:top w:val="single" w:color="auto"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1</w:t>
            </w:r>
            <w:r/>
          </w:p>
        </w:tc>
        <w:tc>
          <w:tcPr>
            <w:tcBorders>
              <w:top w:val="single" w:color="auto" w:sz="4" w:space="0"/>
              <w:left w:val="single" w:color="000000" w:sz="4" w:space="0"/>
              <w:bottom w:val="single" w:color="000000" w:sz="4" w:space="0"/>
              <w:right w:val="single" w:color="000000" w:sz="4" w:space="0"/>
            </w:tcBorders>
            <w:tcW w:w="537" w:type="dxa"/>
            <w:vAlign w:val="center"/>
            <w:vMerge w:val="restart"/>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商务部分</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企业认证</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4分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投标人具有在有效期内的ISO/IEC20000信息技术服务管理体系认证证书､ISO/IEC27001信息安全管理体系认证证书､ISO9001质量管理体系认证证书。每提供1个得2分，本项最高得4分。投标文件中须提供上述证书扫描件，否则不得分。</w:t>
            </w:r>
            <w:r/>
          </w:p>
        </w:tc>
      </w:tr>
      <w:tr>
        <w:trPr>
          <w:jc w:val="center"/>
          <w:trHeight w:val="2025"/>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企业能力</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4分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投标人具有有效的“中国电子信息行业联合会”颁发的“信息系统能力建设和服务能力评估CS”证书，等级达到CS3级得2分，CS4级及以上得3分。投标人具有中国网络安全审查技术与认证中心颁发的CCRC-软件安全开发服务资质证书、CRCC-信息安全应急处理服务资质证书、CRCC-信息系统安全运维服务资质证书，每提供1个得1分，最高得2分。本项最高得4分。投标文件中须提供上述证书扫描件，否则不得分。</w:t>
            </w:r>
            <w:r/>
          </w:p>
        </w:tc>
      </w:tr>
      <w:tr>
        <w:trPr>
          <w:jc w:val="center"/>
          <w:trHeight w:val="1132"/>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企业软著</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4分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供应商具有医保智能监管系统类、临床知识库管理类、医保大数据分析类、DRG智能审核管理系统类的计算机软件著作权证书的，每提供1个得1分，本项最高得4分。投标文件中须提供上述证书扫描件，否则不得分。</w:t>
            </w:r>
            <w:r/>
          </w:p>
        </w:tc>
      </w:tr>
      <w:tr>
        <w:trPr>
          <w:jc w:val="center"/>
          <w:trHeight w:val="3008"/>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6分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供应商拟配备的项目经理具有人社部门认证的信息系统项目管理师（高级）证书、系统分析师（高级）证书、系统架构设计师（高级）证书、系统规划与管理师（高级）证书等计算机技术与软件专业技术资格证书，每提供1个得1分，最高得3分。拟配备的项目经理具有近三年来担任医保基金智能监管类似项目经理经历的，得3分。拟配备的具有近三年来参与医保基金智能监管类似项目的（非担任项目经理），每提供一段经历证明得1分，最高得3分。</w:t>
            </w:r>
            <w:r/>
          </w:p>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本项最高得6分。投标人必须提供与项目经理签订的正式劳动合同和近三个月内任意一个月的社保缴费证明，以及相关证书或证明材料扫描件或复印件并加盖公章，否则不得分。</w:t>
            </w:r>
            <w:r/>
          </w:p>
        </w:tc>
      </w:tr>
      <w:tr>
        <w:trPr>
          <w:jc w:val="center"/>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团队资质</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8分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除项目经理外，投标人提供具备医保基金监管3年及以上经验的人员，每提供1人得2分，最高得4分。团队成员中具有医师资格证书的，每有1人得1分，最高得2分。团队成员中具有互联网架构开发（高级）证书、软件工程师（高级）证书、高级信息系统项目管理师证书、PMP证书的，每有1人得1分，最高得3分。</w:t>
            </w:r>
            <w:r/>
          </w:p>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本项最高得8分。</w:t>
            </w:r>
            <w:r/>
          </w:p>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投标文件中须提供与团队成员签订的正式劳动合同和近三个月内任意一个月的社保缴费证明，以及相关证书或证明材料扫描件或复印件并加盖公章，否则不得分。</w:t>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驻场服务</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4分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bookmarkStart w:id="119" w:name="_GoBack"/>
            <w:r>
              <w:rPr>
                <w:rFonts w:hint="eastAsia" w:ascii="宋体" w:hAnsi="宋体" w:eastAsia="宋体" w:cs="宋体"/>
                <w:color w:val="auto"/>
                <w:sz w:val="20"/>
                <w:highlight w:val="none"/>
                <w:lang w:bidi="ar"/>
              </w:rPr>
              <w:t xml:space="preserve">供应商承诺提供7×24小时应急响应服务，得2分；提供2人及以上本地化服务团队，得2分。投标文件中须提供应急响应服务承诺函和本地化服务团队名单。</w:t>
            </w:r>
            <w:bookmarkEnd w:id="119"/>
            <w:r/>
            <w:r/>
          </w:p>
        </w:tc>
      </w:tr>
      <w:tr>
        <w:trPr>
          <w:jc w:val="center"/>
          <w:trHeight w:val="658"/>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37" w:type="dxa"/>
            <w:vAlign w:val="center"/>
            <w:vMerge w:val="restart"/>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技术</w:t>
            </w:r>
            <w:r>
              <w:rPr>
                <w:rFonts w:hint="eastAsia" w:ascii="宋体" w:hAnsi="宋体" w:eastAsia="宋体" w:cs="宋体"/>
                <w:color w:val="auto"/>
                <w:sz w:val="20"/>
                <w:highlight w:val="none"/>
                <w:lang w:bidi="ar"/>
              </w:rPr>
              <w:br/>
            </w:r>
            <w:r>
              <w:rPr>
                <w:rFonts w:hint="eastAsia" w:ascii="宋体" w:hAnsi="宋体" w:eastAsia="宋体" w:cs="宋体"/>
                <w:color w:val="auto"/>
                <w:sz w:val="20"/>
                <w:highlight w:val="none"/>
                <w:lang w:bidi="ar"/>
              </w:rPr>
              <w:t xml:space="preserve">部分</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项目需求理解分析</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投标人能够深刻理解并阐述本项目需求，对项目建设内容进行全面分析，包括对项目背景、本地现状、项目需求、重难点问题分析应对等。项目需求理解深刻，分析准确到位，完全符合项目要求得10分；项目需求理解较深刻，分析较准确到位，基本符合项目要求得7分；项目需求理解一般，分析一般，得5分；不符合项目要求或未提供得0分。</w:t>
            </w:r>
            <w:r/>
          </w:p>
        </w:tc>
      </w:tr>
      <w:tr>
        <w:trPr>
          <w:jc w:val="center"/>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总体设计方案</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15分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结合招标文件项目需求，对项目总体设计方案进行详细阐述。方案设计合理性、可行性高、与总体目标契合度高的，得15分；方案设计合理性、可行性、与总体目标契合度较高的，得10分；方案设计合理性、全面性、可行性一般，、与总体目标契合度一般的，得5分；方案设计合理性、全面性、可行性差，不能符合项目要求或未提供，得0分。</w:t>
            </w:r>
            <w:r/>
          </w:p>
        </w:tc>
      </w:tr>
      <w:tr>
        <w:trPr>
          <w:jc w:val="center"/>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项目服务方案</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供应商提供有效的项目服务方案，包括但不限于服务渠道、服务方式、岗位设置、服务流程、响应级别、人员保障等。方案设计合理性、全面性、可行性高，得5分；方案设计合理性、全面性、可行性较好，得3分；方案设计合理性、全面性、可行性一般，得1分；方案设计合理性、全面性、可行性差或未提供得0分。</w:t>
            </w:r>
            <w:r/>
          </w:p>
        </w:tc>
      </w:tr>
      <w:tr>
        <w:trPr>
          <w:jc w:val="center"/>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投标人提供具体的项目实施方案，包含风险控制举措、应急处理预案、项目进度控制措施、协调沟通措施并提出服务实施主要风险和降低风险措施和策略。方案设计合理性、全面性、可行性高，得5分；方案设计合理性、全面性、可行性较好，得3分；方案设计合理性、全面性、可行性一般，得1分，方案设计合理性、全面性、可行性差或未提供得0分。</w:t>
            </w:r>
            <w:r/>
          </w:p>
        </w:tc>
      </w:tr>
      <w:tr>
        <w:trPr>
          <w:jc w:val="center"/>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项目管理方案</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供应商对本项目建设内容，结合国家医保局要求和当地实际情况编制项目沟通管理、项目文档管理、项目质量管理、验收管理以及项目风险管理方案。方案设计合理性、全面性、可行性高，得5分；方案设计合理性、全面性、可行性较好，得3分；方案设计合理性、全面性、可行性一般，得1分；方案设计合理性、全面性、可行性差或未提供得0分。</w:t>
            </w:r>
            <w:r/>
          </w:p>
        </w:tc>
      </w:tr>
      <w:tr>
        <w:trPr>
          <w:jc w:val="center"/>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系统安全方案</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投标人提供系统安全设计方案，包括应用安全、数据安全、运行保障和应用预案。方案设计合理性、全面性、可行性高，得5分；方案设计合理性、全面性、可行性较好，得3分；方案设计合理性、全面性、可行性一般，得1分；方案设计合理性、全面性、可行性差或未提供得0分。</w:t>
            </w:r>
            <w:r/>
          </w:p>
        </w:tc>
      </w:tr>
      <w:tr>
        <w:trPr>
          <w:jc w:val="center"/>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系统优化方案</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供应商提供系统软件性能优化方案，包含性能设计目标、系统性能诊断、系统性能监控、性能优化措施。方案设计合理性、全面性、可行性高，得5分；方案设计合理性、全面性、可行性较好，得3分；方案设计合理性、全面性、可行性一般，得1分；方案设计合理性、全面性、可行性差或未提供得0分。</w:t>
            </w:r>
            <w:r/>
          </w:p>
        </w:tc>
      </w:tr>
      <w:tr>
        <w:trPr>
          <w:jc w:val="center"/>
          <w:trHeight w:val="1012"/>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安全及保密措施</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供应商提供项目全过程安全及保密措施方案。方案设计合理性、全面性、可行性高，得5分；方案设计合理性、全面性、可行性较好，得3分；方案设计合理性、全面性、可行性一般，得1分；方案设计合理性、全面性、可行性差或未提供得0分。</w:t>
            </w:r>
            <w:r/>
          </w:p>
        </w:tc>
      </w:tr>
      <w:tr>
        <w:trPr>
          <w:jc w:val="center"/>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37" w:type="dxa"/>
            <w:vAlign w:val="center"/>
            <w:vMerge w:val="continue"/>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6387" w:type="dxa"/>
            <w:vAlign w:val="center"/>
            <w:textDirection w:val="lrTb"/>
            <w:noWrap w:val="false"/>
          </w:tcPr>
          <w:p>
            <w:pPr>
              <w:jc w:val="left"/>
              <w:rPr>
                <w:rFonts w:hint="eastAsia" w:ascii="宋体" w:hAnsi="宋体" w:eastAsia="宋体" w:cs="宋体"/>
                <w:color w:val="auto"/>
                <w:sz w:val="20"/>
                <w:highlight w:val="none"/>
              </w:rPr>
            </w:pPr>
            <w:r>
              <w:rPr>
                <w:rFonts w:hint="eastAsia" w:ascii="宋体" w:hAnsi="宋体" w:eastAsia="宋体" w:cs="宋体"/>
                <w:color w:val="auto"/>
                <w:sz w:val="20"/>
                <w:highlight w:val="none"/>
                <w:lang w:bidi="ar"/>
              </w:rPr>
              <w:t xml:space="preserve">供应商提供售后服务方案，内容包含售后服务流程、售后服务内容、响应时间、人员安排、售后服务保障措施。方案设计合理性、全面性、可行性高，得5分；方案设计合理性、全面性、可行性较好，得3分；方案设计合理性、全面性、可行性一般，得1分；方案设计合理性、全面性、可行性差或未提供得0分。</w:t>
            </w:r>
            <w:r/>
          </w:p>
        </w:tc>
      </w:tr>
    </w:tbl>
    <w:p>
      <w:pPr>
        <w:spacing w:line="360" w:lineRule="auto"/>
        <w:rPr>
          <w:rFonts w:eastAsia="宋体" w:cs="宋体"/>
          <w:b/>
          <w:bCs/>
          <w:color w:val="auto"/>
          <w:sz w:val="24"/>
          <w:szCs w:val="24"/>
          <w:highlight w:val="none"/>
          <w:u w:val="single"/>
        </w:rPr>
      </w:pPr>
      <w:r>
        <w:rPr>
          <w:rFonts w:hint="eastAsia" w:eastAsia="宋体" w:cs="宋体"/>
          <w:b/>
          <w:bCs/>
          <w:color w:val="auto"/>
          <w:sz w:val="24"/>
          <w:szCs w:val="24"/>
          <w:highlight w:val="none"/>
          <w:u w:val="single"/>
        </w:rPr>
        <w:t xml:space="preserve">注：</w:t>
      </w:r>
      <w:r/>
    </w:p>
    <w:p>
      <w:pPr>
        <w:ind w:firstLine="480"/>
        <w:spacing w:line="360" w:lineRule="auto"/>
        <w:rPr>
          <w:rFonts w:eastAsia="宋体" w:cs="宋体"/>
          <w:b/>
          <w:bCs/>
          <w:color w:val="auto"/>
          <w:sz w:val="24"/>
          <w:szCs w:val="24"/>
          <w:highlight w:val="none"/>
          <w:u w:val="single"/>
        </w:rPr>
      </w:pPr>
      <w:r>
        <w:rPr>
          <w:rFonts w:hint="eastAsia" w:eastAsia="宋体" w:cs="宋体"/>
          <w:b/>
          <w:bCs/>
          <w:color w:val="auto"/>
          <w:sz w:val="24"/>
          <w:szCs w:val="24"/>
          <w:highlight w:val="none"/>
          <w:u w:val="single"/>
        </w:rPr>
        <w:t xml:space="preserve">1、上述投标文件中，证书或证明必须提供扫描件（加盖投标人公章），如</w:t>
      </w:r>
      <w:r/>
    </w:p>
    <w:p>
      <w:pPr>
        <w:spacing w:line="360" w:lineRule="auto"/>
        <w:rPr>
          <w:rFonts w:eastAsia="宋体" w:cs="宋体"/>
          <w:b/>
          <w:bCs/>
          <w:color w:val="auto"/>
          <w:sz w:val="24"/>
          <w:szCs w:val="24"/>
          <w:highlight w:val="none"/>
          <w:u w:val="single"/>
        </w:rPr>
      </w:pPr>
      <w:r>
        <w:rPr>
          <w:rFonts w:hint="eastAsia" w:eastAsia="宋体" w:cs="宋体"/>
          <w:b/>
          <w:bCs/>
          <w:color w:val="auto"/>
          <w:sz w:val="24"/>
          <w:szCs w:val="24"/>
          <w:highlight w:val="none"/>
          <w:u w:val="single"/>
        </w:rPr>
        <w:t xml:space="preserve">发现弄虚作假的，将按照本招标文件相关条款规定予以处理。</w:t>
      </w:r>
      <w:r/>
    </w:p>
    <w:p>
      <w:pPr>
        <w:ind w:firstLine="482"/>
        <w:spacing w:line="360" w:lineRule="auto"/>
        <w:rPr>
          <w:rFonts w:eastAsia="宋体" w:cs="宋体"/>
          <w:b/>
          <w:bCs/>
          <w:color w:val="auto"/>
          <w:sz w:val="24"/>
          <w:szCs w:val="24"/>
          <w:highlight w:val="none"/>
          <w:u w:val="single"/>
        </w:rPr>
      </w:pPr>
      <w:r>
        <w:rPr>
          <w:rFonts w:hint="eastAsia" w:eastAsia="宋体" w:cs="宋体"/>
          <w:b/>
          <w:bCs/>
          <w:color w:val="auto"/>
          <w:sz w:val="24"/>
          <w:szCs w:val="24"/>
          <w:highlight w:val="none"/>
          <w:u w:val="single"/>
        </w:rPr>
        <w:t xml:space="preserve">2、评委依据招标文件载明的方法评分，评分四舍五入精确到小数点后两位。</w:t>
      </w:r>
      <w:r/>
    </w:p>
    <w:p>
      <w:pPr>
        <w:contextualSpacing/>
        <w:ind w:firstLine="482"/>
        <w:spacing w:line="360" w:lineRule="auto"/>
        <w:rPr>
          <w:rFonts w:eastAsia="宋体" w:cs="宋体"/>
          <w:b/>
          <w:color w:val="auto"/>
          <w:sz w:val="24"/>
          <w:szCs w:val="24"/>
          <w:highlight w:val="none"/>
        </w:rPr>
        <w:outlineLvl w:val="2"/>
      </w:pPr>
      <w:r>
        <w:rPr>
          <w:rFonts w:hint="eastAsia" w:eastAsia="宋体" w:cs="宋体"/>
          <w:b/>
          <w:color w:val="auto"/>
          <w:sz w:val="24"/>
          <w:szCs w:val="24"/>
          <w:highlight w:val="none"/>
        </w:rPr>
        <w:t xml:space="preserve">（二）</w:t>
      </w:r>
      <w:r>
        <w:rPr>
          <w:rFonts w:hint="eastAsia" w:eastAsia="宋体" w:cs="宋体"/>
          <w:b/>
          <w:color w:val="auto"/>
          <w:sz w:val="24"/>
          <w:szCs w:val="24"/>
          <w:highlight w:val="none"/>
          <w:lang w:val="zh-CN"/>
        </w:rPr>
        <w:t xml:space="preserve">价格标</w:t>
      </w:r>
      <w:r>
        <w:rPr>
          <w:rFonts w:hint="eastAsia" w:eastAsia="宋体" w:cs="宋体"/>
          <w:b/>
          <w:color w:val="auto"/>
          <w:sz w:val="24"/>
          <w:szCs w:val="24"/>
          <w:highlight w:val="none"/>
        </w:rPr>
        <w:t xml:space="preserve">评分：（10分）</w:t>
      </w:r>
      <w:r/>
    </w:p>
    <w:p>
      <w:pPr>
        <w:contextualSpacing/>
        <w:ind w:firstLine="482"/>
        <w:spacing w:line="360" w:lineRule="auto"/>
        <w:rPr>
          <w:rFonts w:eastAsia="宋体" w:cs="宋体"/>
          <w:b/>
          <w:bCs/>
          <w:color w:val="auto"/>
          <w:sz w:val="24"/>
          <w:szCs w:val="24"/>
          <w:highlight w:val="none"/>
        </w:rPr>
      </w:pPr>
      <w:r>
        <w:rPr>
          <w:rFonts w:hint="eastAsia" w:eastAsia="宋体" w:cs="宋体"/>
          <w:b/>
          <w:color w:val="auto"/>
          <w:sz w:val="24"/>
          <w:szCs w:val="24"/>
          <w:highlight w:val="none"/>
        </w:rPr>
        <w:t xml:space="preserve">1、本次项目最高限价为</w:t>
      </w:r>
      <w:r>
        <w:rPr>
          <w:rFonts w:hint="eastAsia" w:eastAsia="宋体" w:cs="宋体"/>
          <w:b/>
          <w:color w:val="auto"/>
          <w:sz w:val="24"/>
          <w:szCs w:val="24"/>
          <w:highlight w:val="none"/>
          <w:u w:val="single"/>
        </w:rPr>
        <w:t xml:space="preserve"> 114万元</w:t>
      </w:r>
      <w:r>
        <w:rPr>
          <w:rFonts w:hint="eastAsia" w:eastAsia="宋体" w:cs="宋体"/>
          <w:b/>
          <w:color w:val="auto"/>
          <w:sz w:val="24"/>
          <w:szCs w:val="24"/>
          <w:highlight w:val="none"/>
        </w:rPr>
        <w:t xml:space="preserve">，</w:t>
      </w:r>
      <w:r>
        <w:rPr>
          <w:rFonts w:hint="eastAsia" w:eastAsia="宋体" w:cs="宋体"/>
          <w:b/>
          <w:bCs/>
          <w:color w:val="auto"/>
          <w:sz w:val="24"/>
          <w:szCs w:val="24"/>
          <w:highlight w:val="none"/>
        </w:rPr>
        <w:t xml:space="preserve">投标报价超过最高限价为无效投标。</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2、满足招标文件要求且投标报价最低的报价为评标基准价，其价格标得分为满分10分。</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3、其他投标人的价格标得分按照下列公式计算（计算结果四舍五入保留两位小数）：</w:t>
      </w:r>
      <w:r/>
    </w:p>
    <w:p>
      <w:pPr>
        <w:contextualSpacing/>
        <w:ind w:firstLine="480"/>
        <w:spacing w:line="360" w:lineRule="auto"/>
        <w:rPr>
          <w:rFonts w:eastAsia="宋体" w:cs="宋体"/>
          <w:b/>
          <w:bCs/>
          <w:color w:val="auto"/>
          <w:sz w:val="24"/>
          <w:szCs w:val="24"/>
          <w:highlight w:val="none"/>
          <w:u w:val="single"/>
        </w:rPr>
      </w:pPr>
      <w:r>
        <w:rPr>
          <w:rFonts w:hint="eastAsia" w:eastAsia="宋体" w:cs="宋体"/>
          <w:b/>
          <w:bCs/>
          <w:color w:val="auto"/>
          <w:sz w:val="24"/>
          <w:szCs w:val="24"/>
          <w:highlight w:val="none"/>
          <w:u w:val="single"/>
        </w:rPr>
        <w:t xml:space="preserve">价格标得分 =（评标基准价/投标报价）×10%×100</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（三）政府采购政策功能落实</w:t>
      </w:r>
      <w:r>
        <w:rPr>
          <w:rFonts w:hint="eastAsia" w:eastAsia="宋体" w:cs="宋体"/>
          <w:color w:val="auto"/>
          <w:highlight w:val="none"/>
        </w:rPr>
        <w:t xml:space="preserve">   </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 小微型企业价格扣除</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（1）本项目为非专门面向中小微企业的项目，对小型和微型企业产品给予10%的扣除价格，用扣除后的价格参与评审。</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（2）供应商需按照《政府采购促进中小企业发展管理办法》（财库﹝2020﹞46 号）的规定提供相应的《中小企业声明函》。</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（4）本次采购对应的中小企业划分标准所属行业为：</w:t>
      </w:r>
      <w:r>
        <w:rPr>
          <w:rFonts w:hint="eastAsia" w:eastAsia="宋体" w:cs="宋体"/>
          <w:b/>
          <w:bCs/>
          <w:color w:val="auto"/>
          <w:sz w:val="24"/>
          <w:szCs w:val="22"/>
          <w:highlight w:val="none"/>
          <w:u w:val="single"/>
        </w:rPr>
        <w:t xml:space="preserve">其他未列明行业 </w:t>
      </w:r>
      <w:r>
        <w:rPr>
          <w:rFonts w:hint="eastAsia" w:eastAsia="宋体" w:cs="宋体"/>
          <w:b/>
          <w:bCs/>
          <w:color w:val="auto"/>
          <w:sz w:val="24"/>
          <w:szCs w:val="24"/>
          <w:highlight w:val="none"/>
        </w:rPr>
        <w:t xml:space="preserve">。</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2、残疾人福利单位价格扣除</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（1）本项目对残疾人福利性单位，给予10%的价格扣除，用扣除后的价格参与评审。</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（2）残疾人福利单位需按照采购文件的要求提供《残疾人福利性单位声明函》。</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（3）残疾人福利单位标准请参照《关于促进残疾人就业政府采购政策的通知》（财库〔2017〕141号）。</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 监狱和戒毒企业价格扣除</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（1）本项目对监狱和戒毒企业（简称监狱企业）给予10%的价格扣除，用扣除后的价格参与评审。</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（3）监狱企业标准请参照《关于政府采购支持监狱企业发展有关问题的通知》（财库[2014]68号）。</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 残疾人福利单位、监狱企业属于小型、微型企业的，不重复享受政策。</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 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 联合体各方均为小型、微型企业（残疾人福利单位、监狱企业）的，联合体享受上述同类价格扣除，用扣除后的价格参与评审。</w:t>
      </w:r>
      <w:r/>
    </w:p>
    <w:p>
      <w:pPr>
        <w:ind w:firstLine="480"/>
        <w:jc w:val="left"/>
        <w:spacing w:line="360" w:lineRule="auto"/>
        <w:rPr>
          <w:rFonts w:eastAsia="宋体" w:cs="宋体"/>
          <w:bCs/>
          <w:color w:val="auto"/>
          <w:highlight w:val="none"/>
        </w:rPr>
      </w:pPr>
      <w:r>
        <w:rPr>
          <w:rFonts w:hint="eastAsia" w:eastAsia="宋体" w:cs="宋体"/>
          <w:color w:val="auto"/>
          <w:sz w:val="24"/>
          <w:szCs w:val="24"/>
          <w:highlight w:val="none"/>
        </w:rPr>
        <w:t xml:space="preserve">7、 专门面向中小企业采购的项目或者采购包，不再执行价格评审优惠的扶持政策。</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（四）中标人的确定</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spacing w:line="360" w:lineRule="auto"/>
        <w:rPr>
          <w:rFonts w:eastAsia="宋体" w:cs="宋体"/>
          <w:b/>
          <w:color w:val="auto"/>
          <w:sz w:val="24"/>
          <w:szCs w:val="24"/>
          <w:highlight w:val="none"/>
        </w:rPr>
        <w:outlineLvl w:val="1"/>
      </w:pPr>
      <w:r/>
      <w:bookmarkStart w:id="58" w:name="_Toc5041"/>
      <w:r>
        <w:rPr>
          <w:rFonts w:hint="eastAsia" w:eastAsia="宋体" w:cs="宋体"/>
          <w:b/>
          <w:color w:val="auto"/>
          <w:sz w:val="24"/>
          <w:szCs w:val="24"/>
          <w:highlight w:val="none"/>
        </w:rPr>
        <w:t xml:space="preserve">九、评标争议</w:t>
      </w:r>
      <w:bookmarkEnd w:id="58"/>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评标时评委对评标的细则若有争议，由评标委员会评委集体讨论确定，并对未尽情况有最终解释权。</w:t>
      </w:r>
      <w:r/>
    </w:p>
    <w:p>
      <w:pPr>
        <w:ind w:firstLine="480"/>
        <w:spacing w:line="360" w:lineRule="auto"/>
        <w:rPr>
          <w:rFonts w:eastAsia="宋体" w:cs="宋体"/>
          <w:b/>
          <w:color w:val="auto"/>
          <w:sz w:val="24"/>
          <w:szCs w:val="24"/>
          <w:highlight w:val="none"/>
        </w:rPr>
        <w:outlineLvl w:val="1"/>
      </w:pPr>
      <w:r/>
      <w:bookmarkStart w:id="59" w:name="_Toc27875"/>
      <w:r>
        <w:rPr>
          <w:rFonts w:hint="eastAsia" w:eastAsia="宋体" w:cs="宋体"/>
          <w:b/>
          <w:color w:val="auto"/>
          <w:sz w:val="24"/>
          <w:szCs w:val="24"/>
          <w:highlight w:val="none"/>
        </w:rPr>
        <w:t xml:space="preserve">十、落标原因</w:t>
      </w:r>
      <w:bookmarkEnd w:id="59"/>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评标委员会不对落标的投标人做落标原因的解释。</w:t>
      </w:r>
      <w:r/>
    </w:p>
    <w:p>
      <w:pPr>
        <w:ind w:firstLine="480"/>
        <w:jc w:val="left"/>
        <w:spacing w:line="360" w:lineRule="auto"/>
        <w:rPr>
          <w:rFonts w:eastAsia="宋体" w:cs="宋体"/>
          <w:color w:val="auto"/>
          <w:szCs w:val="21"/>
          <w:highlight w:val="none"/>
        </w:rPr>
        <w:sectPr>
          <w:headerReference w:type="default" r:id="rId12"/>
          <w:footerReference w:type="default" r:id="rId19"/>
          <w:footnotePr/>
          <w:endnotePr/>
          <w:type w:val="nextPage"/>
          <w:pgSz w:w="11905" w:h="16838" w:orient="portrait"/>
          <w:pgMar w:top="1417" w:right="1474" w:bottom="1474" w:left="1474" w:header="850" w:footer="992" w:gutter="0"/>
          <w:cols w:num="1" w:sep="0" w:space="1701" w:equalWidth="1"/>
          <w:docGrid w:linePitch="360"/>
        </w:sectPr>
      </w:pPr>
      <w:r>
        <w:rPr>
          <w:rFonts w:eastAsia="宋体" w:cs="宋体"/>
          <w:color w:val="auto"/>
          <w:szCs w:val="21"/>
          <w:highlight w:val="none"/>
        </w:rPr>
      </w:r>
      <w:bookmarkEnd w:id="44"/>
      <w:r/>
      <w:r/>
    </w:p>
    <w:p>
      <w:pPr>
        <w:jc w:val="center"/>
        <w:spacing w:line="360" w:lineRule="auto"/>
        <w:tabs>
          <w:tab w:val="left" w:pos="1050" w:leader="none"/>
          <w:tab w:val="right" w:pos="9402" w:leader="dot"/>
        </w:tabs>
        <w:rPr>
          <w:rFonts w:eastAsia="宋体" w:cs="宋体"/>
          <w:b/>
          <w:color w:val="auto"/>
          <w:sz w:val="36"/>
          <w:szCs w:val="36"/>
          <w:highlight w:val="none"/>
        </w:rPr>
        <w:outlineLvl w:val="0"/>
      </w:pPr>
      <w:r/>
      <w:bookmarkStart w:id="60" w:name="_Toc3649"/>
      <w:r/>
      <w:bookmarkStart w:id="61" w:name="_Toc7894"/>
      <w:r/>
      <w:bookmarkStart w:id="62" w:name="_Toc363573857"/>
      <w:r/>
      <w:bookmarkStart w:id="63" w:name="_Toc363573859"/>
      <w:r>
        <w:rPr>
          <w:rFonts w:hint="eastAsia" w:eastAsia="宋体" w:cs="宋体"/>
          <w:b/>
          <w:color w:val="auto"/>
          <w:sz w:val="36"/>
          <w:szCs w:val="36"/>
          <w:highlight w:val="none"/>
        </w:rPr>
        <w:t xml:space="preserve">第五章 合同主要条款</w:t>
      </w:r>
      <w:bookmarkEnd w:id="60"/>
      <w:r/>
      <w:bookmarkEnd w:id="61"/>
      <w:r/>
      <w:bookmarkEnd w:id="62"/>
      <w:r/>
      <w:r/>
    </w:p>
    <w:p>
      <w:pPr>
        <w:jc w:val="center"/>
        <w:spacing w:line="360" w:lineRule="auto"/>
        <w:rPr>
          <w:rFonts w:eastAsia="宋体" w:cs="宋体"/>
          <w:b/>
          <w:bCs/>
          <w:color w:val="auto"/>
          <w:sz w:val="28"/>
          <w:szCs w:val="28"/>
          <w:highlight w:val="none"/>
        </w:rPr>
      </w:pPr>
      <w:r>
        <w:rPr>
          <w:rFonts w:hint="eastAsia" w:eastAsia="宋体" w:cs="宋体"/>
          <w:b/>
          <w:bCs/>
          <w:color w:val="auto"/>
          <w:sz w:val="28"/>
          <w:szCs w:val="28"/>
          <w:highlight w:val="none"/>
        </w:rPr>
        <w:t xml:space="preserve">采购合同（服务）（合同编号）</w:t>
      </w:r>
      <w:r/>
    </w:p>
    <w:p>
      <w:pPr>
        <w:pStyle w:val="966"/>
        <w:spacing w:line="360" w:lineRule="auto"/>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项目名称：                                     </w:t>
      </w:r>
      <w:r/>
    </w:p>
    <w:p>
      <w:pPr>
        <w:pStyle w:val="966"/>
        <w:spacing w:line="360" w:lineRule="auto"/>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项目编号：</w:t>
      </w:r>
      <w:r/>
    </w:p>
    <w:p>
      <w:pPr>
        <w:pStyle w:val="966"/>
        <w:spacing w:line="360" w:lineRule="auto"/>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甲方：_________</w:t>
      </w:r>
      <w:r/>
    </w:p>
    <w:p>
      <w:pPr>
        <w:pStyle w:val="966"/>
        <w:spacing w:line="360" w:lineRule="auto"/>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乙方：_________</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根据《中华人民共和国政府采购法》及其实施条例、《中华人民共和国民法典》等法律法规的规定，甲乙双方按照</w:t>
      </w:r>
      <w:r>
        <w:rPr>
          <w:rFonts w:ascii="SimSun" w:hAnsi="SimSun" w:eastAsia="SimSun" w:cs="SimSu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）政府采购结果签订本合同。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第一条定义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除非另有特别解释或说明，本合同有关词语应按如下定义解释：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合同：甲乙双方签署的，与本项目相关的合同书、附件、附录、其他文件以及政府采购程序中的全部文件。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甲方：购买本合同项下服务的国家机关、事业单位、团体组织。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乙方：提供本合同项下服务的法人、其他组织或自然人。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服务：提供本合同规定的乙方承担的南通市医疗保障基金智能监管改革试点建设项目及相关工作。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合同价款：根据合同规定乙方在正确地完全履行合同义务后甲方应支付给乙方的价款，包含了甲方购买合同项下相关服务的一切费用。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第二条组成本合同的文件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下列文件是组成本合同的不可分割的部分：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①中标或成交通知书；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②招标文件、竞争性谈判文件、询价文件、单一来源谈判记录、竞争性磋商文件等（以下统称“采购文件”）；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③乙方的投标文件或响应文件；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④乙方在报价过程中所作的其它承诺、声明、书面澄清等。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上述文件之间如果出现不一致的，以甲方文件确定的内容为准，但乙方文件的内容对甲方更有利的，适用乙方文件。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乙方文件应当符合采购文件确定的原则，如果乙方文件中的表述，形式上符合采购文件原则，但具体内容对甲方不利、对乙方有利的，视为背离采购文件，不予适用。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第三条合同内容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 </w:t>
      </w:r>
      <w:r>
        <w:rPr>
          <w:rFonts w:ascii="SimSun" w:hAnsi="SimSun" w:eastAsia="SimSun" w:cs="SimSun"/>
          <w:b/>
          <w:color w:val="000000"/>
          <w:sz w:val="24"/>
        </w:rPr>
        <w:t xml:space="preserve">主要建设内容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（一）“两库”本地化与动态优化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完成本地化“两库”建设。严格对照国家局分批公开发布的智能监管“两库”规则和知识点，以及江苏省最新管理规范，通过组织第三方临床专家、医院医保专家等多方参与校准验证，确保南通市“两库”与国家、省标准有效衔接。同时，根据国家、省、市医保政策动态调整情况，并结合本地违规行为特征，对“两库”进行持续优化和更新。</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（二）建立精细化事前提醒机制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搭建医保医疗信息共享平台。依托南通市现有医保网络专线，建设覆盖医保与定点医疗机构的信息共享平台，推动智能监管“两库”与医疗机构信息系统无缝对接，减轻医疗机构自行维护压力，避免因信息系统更新滞后或规则理解不一致导致的违规问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建立重点参保人监管模型。针对省巡交办“三高一非”问题核查中发现的主要问题，探索构建重点参保人就医购药行为监管模型，运用大数据分析技术对存在高频刷卡、高频住院、反复购药等异常行为的参保人实施重点监测，支持对其近</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个月内就诊及结算明细的实时调阅，并在其就诊时向医师提供提醒功能。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建立药品用量监测预警模型。针对违规超量开药问题，探索构建参保人购药“一人一档”，每日计算参保人在门诊、住院、药店购买的每种药品在当前年度的存余合理用量，及时生成预警提醒清单。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建立代购药场景监控分析。依托省医保信息平台，定期归集代购药相关参保人及代购人信息、代购登记和药品明细等数据，共享至医保医疗信息共享平台，开发代购药审核模块，结合人脸识别与人工审核，加强对代购药行为的风险管控。</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（三）建立事中事后指标监控体系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医疗机构医保运行指标监控。聚焦医疗机构医保基金收支运行，重点关注收入增长、支出占比、次均门诊费用增长、次均住院费用增长、违规金额占比等指标，构建多维度指标体系，对医疗机构行为与医保运行情况进行全面评估与规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7.DRG</w:t>
      </w:r>
      <w:r>
        <w:rPr>
          <w:rFonts w:ascii="SimSun" w:hAnsi="SimSun" w:eastAsia="SimSun" w:cs="SimSun"/>
          <w:color w:val="000000"/>
          <w:sz w:val="24"/>
        </w:rPr>
        <w:t xml:space="preserve">运行风险指标监控。针对</w:t>
      </w:r>
      <w:r>
        <w:rPr>
          <w:rFonts w:ascii="Times New Roman" w:hAnsi="Times New Roman" w:eastAsia="Times New Roman" w:cs="Times New Roman"/>
          <w:color w:val="000000"/>
          <w:sz w:val="24"/>
        </w:rPr>
        <w:t xml:space="preserve">DRG</w:t>
      </w:r>
      <w:r>
        <w:rPr>
          <w:rFonts w:ascii="SimSun" w:hAnsi="SimSun" w:eastAsia="SimSun" w:cs="SimSun"/>
          <w:color w:val="000000"/>
          <w:sz w:val="24"/>
        </w:rPr>
        <w:t xml:space="preserve">付费特点，选取分组准确性、费用合理性及医疗质量等方面关键指标，如高编高套组数占比、组内费用变异系数和低风险死亡率等，构建风险监测体系，保障</w:t>
      </w:r>
      <w:r>
        <w:rPr>
          <w:rFonts w:ascii="Times New Roman" w:hAnsi="Times New Roman" w:eastAsia="Times New Roman" w:cs="Times New Roman"/>
          <w:color w:val="000000"/>
          <w:sz w:val="24"/>
        </w:rPr>
        <w:t xml:space="preserve">DRG</w:t>
      </w:r>
      <w:r>
        <w:rPr>
          <w:rFonts w:ascii="SimSun" w:hAnsi="SimSun" w:eastAsia="SimSun" w:cs="SimSun"/>
          <w:color w:val="000000"/>
          <w:sz w:val="24"/>
        </w:rPr>
        <w:t xml:space="preserve">付费改革顺利推进，防范基金不合理支出风险，提升医保基金使用效率与医疗服务质量。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诊疗数据关联指标监控。在指导试点医疗机构全量、规范上报电子病历数据的基础上，基于归集数据构建“诊疗行为－费用结算－医疗文书”三维关联分析模型，通过数据比对（如诊疗项目与病历记录一致性、检查检验结果与用药合理性匹配等），精准识别过度诊疗、虚假诊疗、不合理用药等违规行为，提升监管精准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（四）完善医疗机构内控管理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建立自查自纠管理体系。基于国家、省、市下发的自查自纠负面清单，运用大数据、人工智能及机器学习等技术，构建多维度自查自纠功能模型，按照医保部门下发任务对医疗机构、医保医师、参保人员、药品耗材等开展多方位数据分析，深入识别过度诊疗、重复收费、超标准收费、串换项目等违规行为，同时支持医院自主配置自查模板、生成整改报告，切实提高医疗机构的自查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建立院内诊间提醒和出院疑点预审核系统。一方面，将监管关口前移至医生工作站、护士工作站、医技补录费用等场景，在医生开具处方过程中，对可能存在的不合理用药与不合理医疗行为进行实时预警，根据违规程度对预警信息设置“轻度提醒”“返回修改”等不同等级，及时提示医师纠正。另一方面，在患者出院结算前一节点，按照审核规范对本次住院全部费用进行预审核，确保其最终结算符合医保政策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建立医疗机构端指标监控体系。支持试点医疗机构对医院医保运行、门诊统筹、</w:t>
      </w:r>
      <w:r>
        <w:rPr>
          <w:rFonts w:ascii="Times New Roman" w:hAnsi="Times New Roman" w:eastAsia="Times New Roman" w:cs="Times New Roman"/>
          <w:color w:val="000000"/>
          <w:sz w:val="24"/>
        </w:rPr>
        <w:t xml:space="preserve">DRG</w:t>
      </w:r>
      <w:r>
        <w:rPr>
          <w:rFonts w:ascii="SimSun" w:hAnsi="SimSun" w:eastAsia="SimSun" w:cs="SimSun"/>
          <w:color w:val="000000"/>
          <w:sz w:val="24"/>
        </w:rPr>
        <w:t xml:space="preserve">运行风险等指标进行实时监控分析，在日常管理中加强风险评估和医保管理。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以上试点建设内容是根据南通市监管工作实际提出的需求，最终建设内容以乙方按照本项目要求投标的内容为主，由甲方与乙方共同研究确定。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服务期限：本项目总执行周期为</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个月，包括</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个月的开发建设与</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个月的跟踪维护。项目最终验收合格后，乙方向甲方提供为期</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年的免费运维服务。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乙方承诺上述服务由乙方自行完成，不转 包、分包予第三方完成。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第四条合同价款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本合同项下服务费用总金额为人民币</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元整（大写：</w:t>
      </w:r>
      <w:r>
        <w:rPr>
          <w:rFonts w:ascii="SimSun" w:hAnsi="SimSun" w:eastAsia="SimSun" w:cs="SimSun"/>
          <w:color w:val="000000"/>
          <w:sz w:val="24"/>
          <w:u w:val="single"/>
        </w:rPr>
        <w:t xml:space="preserve">      </w:t>
      </w:r>
      <w:r>
        <w:rPr>
          <w:rFonts w:ascii="SimSun" w:hAnsi="SimSun" w:eastAsia="SimSun" w:cs="SimSun"/>
          <w:color w:val="000000"/>
          <w:sz w:val="24"/>
        </w:rPr>
        <w:t xml:space="preserve">）。本合同为固定总价合同。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第五条支付结算</w:t>
      </w: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）合同签订生效并提供满足甲方要求的发票后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日内，甲方支付项目总金额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的预付款；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）项目验收通过并提供满足甲方要求的发票后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日内，甲方支付项目金额</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的验收款；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第六条验收办法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6.1</w:t>
      </w:r>
      <w:r>
        <w:rPr>
          <w:rFonts w:ascii="SimSun" w:hAnsi="SimSun" w:eastAsia="SimSun" w:cs="SimSun"/>
          <w:color w:val="000000"/>
          <w:sz w:val="24"/>
          <w:u w:val="none"/>
        </w:rPr>
        <w:t xml:space="preserve">履约验收主体：南通市医疗保障局。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履约验收时间：产品上线，试点机构阶段性完成后，乙方申请验收，甲方收到验收申请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个月内组织开展项目验收。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履约验收方式：甲方组织项目验收。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履约验收程序：完成本项目所有工作内容后，由甲方组织验收。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履约验收内容：核实乙方是否按照采购合同及甲方要求完成履约。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w:t>
      </w:r>
      <w:r>
        <w:rPr>
          <w:rFonts w:ascii="SimSun" w:hAnsi="SimSun" w:eastAsia="SimSun" w:cs="SimSun"/>
          <w:color w:val="000000"/>
          <w:sz w:val="24"/>
        </w:rPr>
        <w:t xml:space="preserve">履约验收标准：甲方按照本合同的约定、双方确认的建设内容、国家及行业相关标准、招标文件规定及相关部门的相关规定对乙方完成情况进行验收。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双方的其他权利义务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甲方权利义务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7.1.1 </w:t>
      </w:r>
      <w:r>
        <w:rPr>
          <w:rFonts w:ascii="SimSun" w:hAnsi="SimSun" w:eastAsia="SimSun" w:cs="SimSun"/>
          <w:color w:val="000000"/>
          <w:sz w:val="24"/>
        </w:rPr>
        <w:t xml:space="preserve">甲方权利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甲方有权随时向乙方了解服务进展，提出改进意见和建议；甲方有权根据实际履约质量和进度情况要求乙方按照本合同约定加强管理直至提供符合约定的服务。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7.1.2</w:t>
      </w:r>
      <w:r>
        <w:rPr>
          <w:rFonts w:ascii="SimSun" w:hAnsi="SimSun" w:eastAsia="SimSun" w:cs="SimSun"/>
          <w:color w:val="000000"/>
          <w:sz w:val="24"/>
        </w:rPr>
        <w:t xml:space="preserve">甲方义务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甲方应按时支付合同价款；为乙方履行合同提供必要的便利条件；本合同约定的其他义务。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乙方权利义务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7.2.1</w:t>
      </w:r>
      <w:r>
        <w:rPr>
          <w:rFonts w:ascii="SimSun" w:hAnsi="SimSun" w:eastAsia="SimSun" w:cs="SimSun"/>
          <w:color w:val="000000"/>
          <w:sz w:val="24"/>
        </w:rPr>
        <w:t xml:space="preserve">乙方权利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乙方有权按照合同获得合同价款；乙方有权根据服务内容的需要，请求甲方予以配合。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7.2.2</w:t>
      </w:r>
      <w:r>
        <w:rPr>
          <w:rFonts w:ascii="SimSun" w:hAnsi="SimSun" w:eastAsia="SimSun" w:cs="SimSun"/>
          <w:color w:val="000000"/>
          <w:sz w:val="24"/>
        </w:rPr>
        <w:t xml:space="preserve">除其他有关条款的约定外，乙方义务还包括：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的，视为乙方丧失提供服务的能力。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②乙方应安排身体健康、品性良好的服务人员为甲方提供服务。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③乙方应保证服务人员的稳定，未经甲方同意，不得变更服务人员。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④乙方应当及时响应甲方的服务需求，在甲方提出派员到场服务时，应当与甲方确定到场时间。甲方紧急服务需求时，乙方应在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小时内派员到场。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⑤定期组织服务人员进行培训学习，不断提高服务人员业务技能。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⑥乙方做好安全生产工作，对在工作中出现的服务人员的人身安全承担责任，并对由于服务人员的原因导致的第三人的人身财产损失承担赔偿责任。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⑧法规、政策规定由乙方承担的其他责任。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第八条质量保证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乙方各项服务承诺指标及所采取的措施按照采购文件要求及相应文件的承诺予以确定。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第九条违约责任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甲方未按合同规定期限向乙方支付合同价款的，每逾期一天向乙方偿付欠款总额</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％的滞纳金，但累计总额不超过欠款总额的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有下列情形之一的，乙方应当向甲方支付合同约定合同价款金额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万元，以金额较大的为准）的违约金：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9.2.1</w:t>
      </w:r>
      <w:r>
        <w:rPr>
          <w:rFonts w:ascii="SimSun" w:hAnsi="SimSun" w:eastAsia="SimSun" w:cs="SimSun"/>
          <w:color w:val="000000"/>
          <w:sz w:val="24"/>
        </w:rPr>
        <w:t xml:space="preserve">乙方服务团队成员未经甲方同意发生变更，经甲方要求恢复后，未在合理期限内（</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个工作日内）恢复的；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9.2.2</w:t>
      </w:r>
      <w:r>
        <w:rPr>
          <w:rFonts w:ascii="SimSun" w:hAnsi="SimSun" w:eastAsia="SimSun" w:cs="SimSun"/>
          <w:color w:val="000000"/>
          <w:sz w:val="24"/>
        </w:rPr>
        <w:t xml:space="preserve">乙方单位总体服务能力发生下降，专业技术人员减员或资质下降人数达到</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9.2.3</w:t>
      </w:r>
      <w:r>
        <w:rPr>
          <w:rFonts w:ascii="SimSun" w:hAnsi="SimSun" w:eastAsia="SimSun" w:cs="SimSun"/>
          <w:color w:val="000000"/>
          <w:sz w:val="24"/>
        </w:rPr>
        <w:t xml:space="preserve">乙方人员无故未能按约定为甲方提供服务，服务期限内达到二人次的；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9.2.4</w:t>
      </w:r>
      <w:r>
        <w:rPr>
          <w:rFonts w:ascii="SimSun" w:hAnsi="SimSun" w:eastAsia="SimSun" w:cs="SimSun"/>
          <w:color w:val="000000"/>
          <w:sz w:val="24"/>
        </w:rPr>
        <w:t xml:space="preserve">乙方人员不能响应甲方紧急服务需求的；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9.2.5</w:t>
      </w:r>
      <w:r>
        <w:rPr>
          <w:rFonts w:ascii="SimSun" w:hAnsi="SimSun" w:eastAsia="SimSun" w:cs="SimSun"/>
          <w:color w:val="000000"/>
          <w:sz w:val="24"/>
        </w:rPr>
        <w:t xml:space="preserve">因乙方服务人员原因在服务期间给甲方造成不良影响的，服务期限内达到一次的；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9.2.6</w:t>
      </w:r>
      <w:r>
        <w:rPr>
          <w:rFonts w:ascii="SimSun" w:hAnsi="SimSun" w:eastAsia="SimSun" w:cs="SimSun"/>
          <w:color w:val="000000"/>
          <w:sz w:val="24"/>
        </w:rPr>
        <w:t xml:space="preserve">乙方及其服务人员虚报服务内容、服务时间等，骗取甲方服务费用的；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9.2.7</w:t>
      </w:r>
      <w:r>
        <w:rPr>
          <w:rFonts w:ascii="SimSun" w:hAnsi="SimSun" w:eastAsia="SimSun" w:cs="SimSun"/>
          <w:color w:val="000000"/>
          <w:sz w:val="24"/>
        </w:rPr>
        <w:t xml:space="preserve">根据第七条乙方义务，如乙方未按本合同规定提供相关服务或未能履行本合同规定的其他义务的，甲方有权要求乙方限期整改，逾期不整改或整改后仍达不到甲方要求的，甲方有权解除合同，要求乙方返还甲方已经支付的所有款项，由此造成甲方经济损失的，乙方应承担赔偿责任。同时乙方应向甲方另行支付合同总价</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万元，以金额较大的为准）的违约金。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w:t>
      </w:r>
      <w:r>
        <w:rPr>
          <w:rFonts w:ascii="SimSun" w:hAnsi="SimSun" w:eastAsia="SimSun" w:cs="SimSun"/>
          <w:color w:val="000000"/>
          <w:sz w:val="24"/>
        </w:rPr>
        <w:t xml:space="preserve">乙方在承担上述</w:t>
      </w: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项中一项或多项违约责任后，仍应继续履行合同规定的义务（甲方解除合同的除外）。甲方未能及时追究乙方的任何一项违约责任并不表明甲方放弃追究乙方该项或其他违约责任。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9.4</w:t>
      </w:r>
      <w:r>
        <w:rPr>
          <w:rFonts w:ascii="SimSun" w:hAnsi="SimSun" w:eastAsia="SimSun" w:cs="SimSun"/>
          <w:color w:val="000000"/>
          <w:sz w:val="24"/>
        </w:rPr>
        <w:t xml:space="preserve">违约金不足以弥补损失的，由违约方补足。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合同的解除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出现下列情形之一的，甲方有权解除本合同：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乙方单位总体服务能力发生下降，专业技术人员减员或资质下降人数达到</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乙方人员无故未能按约定为甲方提供服务，服务期限内达到三人次的；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乙方人员不能响应甲方紧急服务需求的，经甲方指出后未能改正的；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因乙方服务人员原因在服务期间给甲方造成不良影响的，服务期限内达到二次的；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乙方及其服务人员虚报服务内容、服务时间等，骗取甲方服务费用的；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因乙方不当服务或服务人员违法，给甲方造成严重不良影响的；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w:t>
      </w:r>
      <w:r>
        <w:rPr>
          <w:rFonts w:ascii="SimSun" w:hAnsi="SimSun" w:eastAsia="SimSun" w:cs="SimSun"/>
          <w:color w:val="000000"/>
          <w:sz w:val="24"/>
        </w:rPr>
        <w:t xml:space="preserve">乙方一年内因生产安全事故受到行政处罚达到三次的，或者因为乙方发生生产安全事故、环境损害事故，给甲方造成重大不良影响的或导致甲方受到行政处罚的。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10.8</w:t>
      </w:r>
      <w:r>
        <w:rPr>
          <w:rFonts w:ascii="SimSun" w:hAnsi="SimSun" w:eastAsia="SimSun" w:cs="SimSun"/>
          <w:color w:val="000000"/>
          <w:sz w:val="24"/>
        </w:rPr>
        <w:t xml:space="preserve">若乙方首次验收未通过，甲方有权要求乙方在</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个工作日内完成整改并重新提交验收申请；若仍不合格，甲方有权单方解除合同，要求乙方返还全部已支付款项，并追究乙方的违约责任。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不可抗力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不可抗力，是指不能预见、不能避免并不能克服的客观情况，如战争、动乱、洪水、地震、风暴等。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发生不可抗力事件，任何一方均不对因不可抗力无法履行或迟延履行本合同义务而使另一方蒙受的任何损失承担责任，法律另有规定的除外。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rPr>
          <w:rFonts w:ascii="SimSun" w:hAnsi="SimSun" w:eastAsia="SimSun" w:cs="SimSun"/>
          <w:color w:val="000000"/>
          <w:sz w:val="24"/>
        </w:rPr>
        <w:t xml:space="preserve">合同各方应根据不可抗力对本合同履行的影响程度，协商确定是否终止或是继续履行本合同。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第十二条合同的变更、中止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本合同一经签订，双方均不得擅自变更或中止合同，除非合同的继续履行将损害国家利益和社会公共利益。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第十三条合同的终止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本合同因下列原因而终止：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13.1.1 </w:t>
      </w:r>
      <w:r>
        <w:rPr>
          <w:rFonts w:ascii="SimSun" w:hAnsi="SimSun" w:eastAsia="SimSun" w:cs="SimSun"/>
          <w:color w:val="000000"/>
          <w:sz w:val="24"/>
        </w:rPr>
        <w:t xml:space="preserve">本合同正常履行完毕；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13.1.2 </w:t>
      </w:r>
      <w:r>
        <w:rPr>
          <w:rFonts w:ascii="SimSun" w:hAnsi="SimSun" w:eastAsia="SimSun" w:cs="SimSun"/>
          <w:color w:val="000000"/>
          <w:sz w:val="24"/>
        </w:rPr>
        <w:t xml:space="preserve">因不可抗力导致本合同无法履行或履行不必要；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13.1.3 </w:t>
      </w:r>
      <w:r>
        <w:rPr>
          <w:rFonts w:ascii="SimSun" w:hAnsi="SimSun" w:eastAsia="SimSun" w:cs="SimSun"/>
          <w:color w:val="000000"/>
          <w:sz w:val="24"/>
        </w:rPr>
        <w:t xml:space="preserve">任何一方行使解除权解除本合同；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13.1.4</w:t>
      </w:r>
      <w:r>
        <w:rPr>
          <w:rFonts w:ascii="SimSun" w:hAnsi="SimSun" w:eastAsia="SimSun" w:cs="SimSun"/>
          <w:color w:val="000000"/>
          <w:sz w:val="24"/>
        </w:rPr>
        <w:t xml:space="preserve">合同的继续履行将损害国家利益和社会公共利益且不宜变更、中止的。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除上述情形外，甲乙双方不得擅自终止合同。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第十四条合同的转让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乙方不得将其合同项下的权利义务部分或全部转让给第三方。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第十五条履约保证金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本项目中标后的履约保证金为合同总价的</w:t>
      </w:r>
      <w:r>
        <w:rPr>
          <w:rFonts w:ascii="Times New Roman" w:hAnsi="Times New Roman" w:eastAsia="Times New Roman" w:cs="Times New Roman"/>
          <w:b/>
          <w:color w:val="000000"/>
          <w:sz w:val="24"/>
          <w:u w:val="single"/>
        </w:rPr>
        <w:t xml:space="preserve">5% </w:t>
      </w:r>
      <w:r>
        <w:rPr>
          <w:rFonts w:ascii="SimSun" w:hAnsi="SimSun" w:eastAsia="SimSun" w:cs="SimSun"/>
          <w:color w:val="000000"/>
          <w:sz w:val="24"/>
        </w:rPr>
        <w:t xml:space="preserve">，即</w:t>
      </w:r>
      <w:r>
        <w:rPr>
          <w:rFonts w:ascii="SimSun" w:hAnsi="SimSun" w:eastAsia="SimSun" w:cs="SimSun"/>
          <w:color w:val="000000"/>
          <w:sz w:val="24"/>
          <w:u w:val="single"/>
        </w:rPr>
        <w:t xml:space="preserve">      元</w:t>
      </w:r>
      <w:r>
        <w:rPr>
          <w:rFonts w:ascii="SimSun" w:hAnsi="SimSun" w:eastAsia="SimSun" w:cs="SimSun"/>
          <w:color w:val="000000"/>
          <w:sz w:val="24"/>
        </w:rPr>
        <w:t xml:space="preserve">，乙方可以选择以支票、汇票、本票、保函等非现金形式缴纳。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服务期满并按规定时间、规定要求完成交接后甲方将无息返还该履约保证金。如甲方迟于约定时间退还履约保证金，除不可抗力因素外，自超过付款期限之日起，按照逾期部分的每日</w:t>
      </w:r>
      <w:r>
        <w:rPr>
          <w:rFonts w:ascii="Times New Roman" w:hAnsi="Times New Roman" w:eastAsia="Times New Roman" w:cs="Times New Roman"/>
          <w:color w:val="000000"/>
          <w:sz w:val="24"/>
        </w:rPr>
        <w:t xml:space="preserve">0.01%</w:t>
      </w:r>
      <w:r>
        <w:rPr>
          <w:rFonts w:ascii="SimSun" w:hAnsi="SimSun" w:eastAsia="SimSun" w:cs="SimSun"/>
          <w:color w:val="000000"/>
          <w:sz w:val="24"/>
        </w:rPr>
        <w:t xml:space="preserve">支付违约金。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发生以下情况的，履约保证金不予退还或部分退还：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）签订合同后，乙方不履行合同义务的，甲方有权全额扣除履约保证金，全额不予退还，同时甲方亦有权终止合同，要求乙方返还已经支付的全部价款，并要求乙方承担相应的法律赔偿责任。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）乙方在履约过程中发生违约行为，给甲方造成损失的，甲方有权要求乙方按照本合同第九条相关条款支付违约金，并首先在乙方缴纳的履约保证金中予以扣款，以弥补甲方经济损失，不足的部分乙方另外补齐。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知识产权条款</w:t>
      </w:r>
      <w:r/>
    </w:p>
    <w:p>
      <w:pPr>
        <w:ind w:left="0" w:right="0" w:firstLine="56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应保证其在履行合同的过程中及因履行本合同所形成的成果不侵犯任何第三方包括但不限于知识产权在内的合法权利、不违反法律法规规定和政策规定。如因乙方违反前述约定导致甲方在使用、接受本合同服务或其任何一部分过程中出现争议或纠纷，乙方应当应甲方要求立即采取充分的补救措施并独立承担由此引发的全部责任。同时，甲方有权根据具体情况单方解除本协议，要求乙方返还所有已支付的款项，并要求乙方赔偿甲方由此遭受的全部经济损失</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包括但不限于诉讼费、律师费、和解金、赔偿金等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因履行本合同而产生的所有智力成果，其知识产权归甲方所有。乙方有权获得的所有报酬、奖励，已经涵盖于甲方支付的合同总价中。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 保密条款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未经甲方事先书面同意，乙方不得将由甲方提供的或从甲方获知的任何数据 信息或资料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包括但不限于甲方的业务数据、技术资料、本项目所涉的所 有医保数据、参保人个人信息、医疗机构信息等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给与履行本合同无关的任何单位和个人。即使向履行本合同有关的人员提供，也应注意保密并限于履行合同的必需范围。乙方承诺，上述保密义务延及其员工，其员工违反上述保密义务，乙方同样承担全部法律责任。乙方应对由此给甲方造成的损失承担全部法律责任，包括但不限于诉讼费、诉讼保全费、诉讼保全保险费、律师费等。本协议所约定保 密义务不受本协议期限限制。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第十</w:t>
      </w:r>
      <w:r>
        <w:rPr>
          <w:rFonts w:ascii="SimSun" w:hAnsi="SimSun" w:eastAsia="SimSun" w:cs="SimSun"/>
          <w:color w:val="000000"/>
          <w:sz w:val="24"/>
        </w:rPr>
        <w:t xml:space="preserve">八条 争议解决方式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在执行本合同过程中所发生的或与本合同有关的一切争端，甲乙双方友好协商解决。如协商不能解决，则全部争端由甲方所在地人民法院管辖。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如因乙方违约，导致甲方起诉的，甲方由此产生的诉讼费用、律师费用、差旅费用等，均由乙方承担。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第十</w:t>
      </w:r>
      <w:r>
        <w:rPr>
          <w:rFonts w:ascii="SimSun" w:hAnsi="SimSun" w:eastAsia="SimSun" w:cs="SimSun"/>
          <w:color w:val="000000"/>
          <w:sz w:val="24"/>
        </w:rPr>
        <w:t xml:space="preserve">九条 合同生效及其他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 </w:t>
      </w:r>
      <w:r>
        <w:rPr>
          <w:rFonts w:ascii="SimSun" w:hAnsi="SimSun" w:eastAsia="SimSun" w:cs="SimSun"/>
          <w:color w:val="000000"/>
          <w:sz w:val="24"/>
        </w:rPr>
        <w:t xml:space="preserve">合同在双方加盖公章或双方法定代表人、授权代表签字后生效。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本合同一式四份，以简体中文书写，甲方、乙方各执二份。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 </w:t>
      </w:r>
      <w:r>
        <w:rPr>
          <w:rFonts w:ascii="SimSun" w:hAnsi="SimSun" w:eastAsia="SimSun" w:cs="SimSun"/>
          <w:color w:val="000000"/>
          <w:sz w:val="24"/>
        </w:rPr>
        <w:t xml:space="preserve">本合同应按照中华人民共和国的现行法律进行解释。</w:t>
      </w:r>
      <w:r/>
    </w:p>
    <w:p>
      <w:pPr>
        <w:spacing w:line="520" w:lineRule="exact"/>
        <w:rPr>
          <w:rFonts w:eastAsia="宋体" w:cs="宋体"/>
          <w:color w:val="auto"/>
          <w:sz w:val="24"/>
          <w:szCs w:val="24"/>
          <w:highlight w:val="none"/>
        </w:rPr>
      </w:pPr>
      <w:r>
        <w:rPr>
          <w:rFonts w:eastAsia="宋体" w:cs="宋体"/>
          <w:color w:val="auto"/>
          <w:sz w:val="24"/>
          <w:szCs w:val="24"/>
          <w:highlight w:val="none"/>
        </w:rPr>
      </w:r>
      <w:r/>
    </w:p>
    <w:p>
      <w:pPr>
        <w:spacing w:line="520" w:lineRule="exact"/>
        <w:rPr>
          <w:rFonts w:eastAsia="宋体" w:cs="宋体"/>
          <w:color w:val="auto"/>
          <w:sz w:val="24"/>
          <w:szCs w:val="24"/>
          <w:highlight w:val="none"/>
        </w:rPr>
      </w:pPr>
      <w:r>
        <w:rPr>
          <w:rFonts w:hint="eastAsia" w:eastAsia="宋体" w:cs="宋体"/>
          <w:color w:val="auto"/>
          <w:sz w:val="24"/>
          <w:szCs w:val="24"/>
          <w:highlight w:val="none"/>
        </w:rPr>
        <w:t xml:space="preserve">甲方（公章）：                       乙方（公章）：</w:t>
      </w:r>
      <w:r/>
    </w:p>
    <w:p>
      <w:pPr>
        <w:spacing w:line="520" w:lineRule="exact"/>
        <w:rPr>
          <w:rFonts w:eastAsia="宋体" w:cs="宋体"/>
          <w:color w:val="auto"/>
          <w:sz w:val="24"/>
          <w:szCs w:val="24"/>
          <w:highlight w:val="none"/>
        </w:rPr>
      </w:pPr>
      <w:r>
        <w:rPr>
          <w:rFonts w:hint="eastAsia" w:eastAsia="宋体" w:cs="宋体"/>
          <w:color w:val="auto"/>
          <w:sz w:val="24"/>
          <w:szCs w:val="24"/>
          <w:highlight w:val="none"/>
        </w:rPr>
        <w:t xml:space="preserve">法定（授权）代表人（签字）：        </w:t>
      </w:r>
      <w:r>
        <w:rPr>
          <w:rFonts w:eastAsia="宋体" w:cs="宋体"/>
          <w:color w:val="auto"/>
          <w:sz w:val="24"/>
          <w:szCs w:val="24"/>
          <w:highlight w:val="none"/>
        </w:rPr>
        <w:t xml:space="preserve"> </w:t>
      </w:r>
      <w:r>
        <w:rPr>
          <w:rFonts w:hint="eastAsia" w:eastAsia="宋体" w:cs="宋体"/>
          <w:color w:val="auto"/>
          <w:sz w:val="24"/>
          <w:szCs w:val="24"/>
          <w:highlight w:val="none"/>
        </w:rPr>
        <w:t xml:space="preserve">法定（授权）代表人（签字）：</w:t>
      </w:r>
      <w:r/>
    </w:p>
    <w:p>
      <w:pPr>
        <w:spacing w:line="520" w:lineRule="exact"/>
        <w:rPr>
          <w:rFonts w:eastAsia="宋体" w:cs="宋体"/>
          <w:color w:val="auto"/>
          <w:sz w:val="24"/>
          <w:szCs w:val="24"/>
          <w:highlight w:val="none"/>
        </w:rPr>
      </w:pPr>
      <w:r>
        <w:rPr>
          <w:rFonts w:hint="eastAsia" w:eastAsia="宋体" w:cs="宋体"/>
          <w:color w:val="auto"/>
          <w:sz w:val="24"/>
          <w:szCs w:val="24"/>
          <w:highlight w:val="none"/>
        </w:rPr>
        <w:t xml:space="preserve">    年   月   日                        年   月   日</w:t>
      </w:r>
      <w:r/>
    </w:p>
    <w:p>
      <w:pPr>
        <w:spacing w:line="520" w:lineRule="exact"/>
        <w:rPr>
          <w:rFonts w:eastAsia="宋体" w:cs="宋体"/>
          <w:color w:val="auto"/>
          <w:sz w:val="24"/>
          <w:szCs w:val="24"/>
          <w:highlight w:val="none"/>
        </w:rPr>
      </w:pPr>
      <w:r>
        <w:rPr>
          <w:rFonts w:eastAsia="宋体" w:cs="宋体"/>
          <w:color w:val="auto"/>
          <w:sz w:val="24"/>
          <w:szCs w:val="24"/>
          <w:highlight w:val="none"/>
        </w:rPr>
      </w:r>
      <w:r/>
    </w:p>
    <w:p>
      <w:pPr>
        <w:ind w:firstLine="480"/>
        <w:spacing w:line="360" w:lineRule="auto"/>
        <w:rPr>
          <w:rFonts w:eastAsia="宋体" w:cs="宋体"/>
          <w:color w:val="auto"/>
          <w:sz w:val="24"/>
          <w:szCs w:val="24"/>
          <w:highlight w:val="none"/>
          <w:lang w:bidi="zh-CN"/>
        </w:rPr>
      </w:pPr>
      <w:r>
        <w:rPr>
          <w:rFonts w:eastAsia="宋体" w:cs="宋体"/>
          <w:color w:val="auto"/>
          <w:sz w:val="24"/>
          <w:szCs w:val="24"/>
          <w:highlight w:val="none"/>
          <w:lang w:bidi="zh-CN"/>
        </w:rPr>
      </w:r>
      <w:r/>
    </w:p>
    <w:p>
      <w:pPr>
        <w:spacing w:line="360" w:lineRule="auto"/>
        <w:rPr>
          <w:rFonts w:eastAsia="宋体" w:cs="宋体"/>
          <w:b/>
          <w:color w:val="auto"/>
          <w:sz w:val="36"/>
          <w:szCs w:val="36"/>
          <w:highlight w:val="none"/>
        </w:rPr>
      </w:pPr>
      <w:r>
        <w:rPr>
          <w:rFonts w:hint="eastAsia" w:eastAsia="宋体" w:cs="宋体"/>
          <w:b/>
          <w:color w:val="auto"/>
          <w:sz w:val="24"/>
          <w:szCs w:val="24"/>
          <w:highlight w:val="none"/>
        </w:rPr>
        <w:t xml:space="preserve">采购人保留对合同修改和完善的权利。</w:t>
      </w:r>
      <w:r>
        <w:rPr>
          <w:rFonts w:hint="eastAsia" w:eastAsia="宋体" w:cs="宋体"/>
          <w:color w:val="auto"/>
          <w:sz w:val="24"/>
          <w:szCs w:val="24"/>
          <w:highlight w:val="none"/>
          <w:lang w:val="zh-CN" w:bidi="zh-CN"/>
        </w:rPr>
        <w:br w:type="page" w:clear="all"/>
      </w:r>
      <w:r/>
    </w:p>
    <w:p>
      <w:pPr>
        <w:contextualSpacing/>
        <w:jc w:val="center"/>
        <w:spacing w:line="360" w:lineRule="auto"/>
        <w:rPr>
          <w:rFonts w:eastAsia="宋体" w:cs="宋体"/>
          <w:b/>
          <w:color w:val="auto"/>
          <w:sz w:val="36"/>
          <w:szCs w:val="36"/>
          <w:highlight w:val="none"/>
        </w:rPr>
        <w:outlineLvl w:val="0"/>
      </w:pPr>
      <w:r/>
      <w:bookmarkStart w:id="99" w:name="_Toc30633"/>
      <w:r/>
      <w:bookmarkStart w:id="100" w:name="_Toc8595"/>
      <w:r>
        <w:rPr>
          <w:rFonts w:hint="eastAsia" w:eastAsia="宋体" w:cs="宋体"/>
          <w:b/>
          <w:color w:val="auto"/>
          <w:sz w:val="36"/>
          <w:szCs w:val="36"/>
          <w:highlight w:val="none"/>
        </w:rPr>
        <w:t xml:space="preserve">第六章 合同授予</w:t>
      </w:r>
      <w:bookmarkEnd w:id="99"/>
      <w:r/>
      <w:bookmarkEnd w:id="100"/>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一、</w:t>
      </w:r>
      <w:r>
        <w:rPr>
          <w:rFonts w:hint="eastAsia" w:eastAsia="宋体" w:cs="宋体"/>
          <w:bCs/>
          <w:color w:val="auto"/>
          <w:sz w:val="24"/>
          <w:szCs w:val="24"/>
          <w:highlight w:val="none"/>
        </w:rPr>
        <w:t xml:space="preserve">自中标通知书发出之日起30日内，中标人凭“中标通知书”及履约缴纳凭证与招标人签订合同。</w:t>
      </w:r>
      <w:r>
        <w:rPr>
          <w:rFonts w:hint="eastAsia" w:eastAsia="宋体" w:cs="宋体"/>
          <w:color w:val="auto"/>
          <w:sz w:val="24"/>
          <w:szCs w:val="21"/>
          <w:highlight w:val="none"/>
        </w:rPr>
        <w:t xml:space="preserve">合同一式肆份，招标人、中标人各执贰份。所签合同不得对招标文件作实质性修改。招标人不得向中标人提出不合理的要求作为签订合同的条件，不得与中标人私下订立背离招标文件实质性内容的协议。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二、招标人按合同约定积极配合中标人履约，中标人履约到位后，请以书面形式向招标人提出验收申请。</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三、中标人出现违约情形，应当及时纠正或补偿；造成损失的，按合同约定追究违约责任。</w:t>
      </w:r>
      <w:bookmarkEnd w:id="63"/>
      <w:r/>
      <w:r/>
    </w:p>
    <w:p>
      <w:pPr>
        <w:contextualSpacing/>
        <w:ind w:firstLine="480"/>
        <w:spacing w:line="360" w:lineRule="auto"/>
        <w:rPr>
          <w:rFonts w:eastAsia="宋体" w:cs="宋体"/>
          <w:color w:val="auto"/>
          <w:sz w:val="24"/>
          <w:szCs w:val="21"/>
          <w:highlight w:val="none"/>
        </w:rPr>
      </w:pPr>
      <w:r/>
      <w:bookmarkStart w:id="101" w:name="_Toc363573860"/>
      <w:r>
        <w:rPr>
          <w:rFonts w:hint="eastAsia" w:eastAsia="宋体" w:cs="宋体"/>
          <w:color w:val="auto"/>
          <w:sz w:val="24"/>
          <w:szCs w:val="21"/>
          <w:highlight w:val="none"/>
        </w:rPr>
        <w:t xml:space="preserve">四、不响应付款方式的，视同投标文件无效，按无效投标文件处理。</w:t>
      </w:r>
      <w:r/>
    </w:p>
    <w:p>
      <w:pPr>
        <w:contextualSpacing/>
        <w:ind w:firstLine="480"/>
        <w:spacing w:line="360" w:lineRule="auto"/>
        <w:rPr>
          <w:rFonts w:eastAsia="宋体" w:cs="宋体"/>
          <w:color w:val="auto"/>
          <w:highlight w:val="none"/>
        </w:rPr>
      </w:pPr>
      <w:r>
        <w:rPr>
          <w:rFonts w:hint="eastAsia" w:eastAsia="宋体" w:cs="宋体"/>
          <w:color w:val="auto"/>
          <w:sz w:val="24"/>
          <w:szCs w:val="21"/>
          <w:highlight w:val="none"/>
        </w:rPr>
        <w:t xml:space="preserve">五、付款方式详见招标文件第五章，以上项目款的支付不计息。</w:t>
      </w:r>
      <w:r/>
    </w:p>
    <w:p>
      <w:pPr>
        <w:contextualSpacing/>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contextualSpacing/>
        <w:spacing w:line="360" w:lineRule="auto"/>
        <w:rPr>
          <w:rFonts w:eastAsia="宋体" w:cs="宋体"/>
          <w:color w:val="auto"/>
          <w:sz w:val="24"/>
          <w:szCs w:val="21"/>
          <w:highlight w:val="none"/>
        </w:rPr>
      </w:pPr>
      <w:r>
        <w:rPr>
          <w:rFonts w:eastAsia="宋体" w:cs="宋体"/>
          <w:color w:val="auto"/>
          <w:sz w:val="24"/>
          <w:szCs w:val="21"/>
          <w:highlight w:val="none"/>
        </w:rPr>
      </w:r>
      <w:r/>
    </w:p>
    <w:p>
      <w:pPr>
        <w:pStyle w:val="1058"/>
        <w:spacing w:line="360" w:lineRule="auto"/>
        <w:rPr>
          <w:rFonts w:eastAsia="宋体" w:cs="宋体"/>
          <w:color w:val="auto"/>
          <w:highlight w:val="none"/>
        </w:rPr>
      </w:pPr>
      <w:r>
        <w:rPr>
          <w:rFonts w:eastAsia="宋体" w:cs="宋体"/>
          <w:color w:val="auto"/>
          <w:highlight w:val="none"/>
        </w:rPr>
      </w:r>
      <w:r/>
    </w:p>
    <w:p>
      <w:pPr>
        <w:contextualSpacing/>
        <w:ind w:firstLine="582"/>
        <w:jc w:val="center"/>
        <w:spacing w:line="360" w:lineRule="auto"/>
        <w:rPr>
          <w:rFonts w:eastAsia="宋体" w:cs="宋体"/>
          <w:b/>
          <w:color w:val="auto"/>
          <w:sz w:val="36"/>
          <w:szCs w:val="36"/>
          <w:highlight w:val="none"/>
        </w:rPr>
        <w:outlineLvl w:val="0"/>
      </w:pPr>
      <w:r>
        <w:rPr>
          <w:rFonts w:hint="eastAsia" w:eastAsia="宋体" w:cs="宋体"/>
          <w:b/>
          <w:color w:val="auto"/>
          <w:sz w:val="36"/>
          <w:szCs w:val="36"/>
          <w:highlight w:val="none"/>
        </w:rPr>
        <w:br w:type="page" w:clear="all"/>
      </w:r>
      <w:bookmarkStart w:id="102" w:name="_Toc6012"/>
      <w:r/>
      <w:bookmarkStart w:id="103" w:name="_Toc8139"/>
      <w:r>
        <w:rPr>
          <w:rFonts w:hint="eastAsia" w:eastAsia="宋体" w:cs="宋体"/>
          <w:b/>
          <w:color w:val="auto"/>
          <w:sz w:val="36"/>
          <w:szCs w:val="36"/>
          <w:highlight w:val="none"/>
        </w:rPr>
        <w:t xml:space="preserve">第七章 质疑与投诉</w:t>
      </w:r>
      <w:bookmarkEnd w:id="102"/>
      <w:r/>
      <w:bookmarkEnd w:id="103"/>
      <w:r/>
      <w:r/>
    </w:p>
    <w:p>
      <w:pPr>
        <w:contextualSpacing/>
        <w:ind w:firstLine="482"/>
        <w:spacing w:line="360" w:lineRule="auto"/>
        <w:rPr>
          <w:rFonts w:eastAsia="宋体" w:cs="宋体"/>
          <w:b/>
          <w:color w:val="auto"/>
          <w:sz w:val="24"/>
          <w:szCs w:val="21"/>
          <w:highlight w:val="none"/>
        </w:rPr>
        <w:outlineLvl w:val="1"/>
      </w:pPr>
      <w:r/>
      <w:bookmarkStart w:id="104" w:name="_Toc14154"/>
      <w:r>
        <w:rPr>
          <w:rFonts w:hint="eastAsia" w:eastAsia="宋体" w:cs="宋体"/>
          <w:b/>
          <w:color w:val="auto"/>
          <w:sz w:val="24"/>
          <w:szCs w:val="21"/>
          <w:highlight w:val="none"/>
        </w:rPr>
        <w:t xml:space="preserve">一、质疑的提出</w:t>
      </w:r>
      <w:bookmarkEnd w:id="104"/>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1、提出质疑的投标人应当是参与所质疑项目采购活动的投标人。潜在投标人依法获取其可质疑的招标文件的，可以对招标文件提出质疑。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2.1对可以质疑的招标文件提出质疑的，为收到招标文件之日或者招标文件公告期限届满之日；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2.2对采购过程提出质疑的，为各采购程序环节结束之日；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2.3对中标结果提出质疑的，为中标结果公告期限届满之日。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投标人应当在法定质疑期内一次性提出针对同一采购程序环节的质疑。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4、对招标方式、招标文件中项目需求、投标人资格条件、评审方法和评审标准、资格审查结果等应当由招标人答复的质疑，请向招标人提出，由招标人负责答复。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招标人质疑接收人及联系方式，见招标文件第一章。</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 以下情形的质疑不予受理</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5.1 内容不符合《政府采购质疑和投诉办法》财政部第94号令第十二条规定的质疑。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5.2 超出政府采购法定期限的质疑。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5.3 未参加招投标活动的投标人。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5.4投标人组成联合体参加招投标活动，联合体中任何一方或多方未按要求签字、盖章、加盖公章的质疑。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spacing w:line="360" w:lineRule="auto"/>
        <w:rPr>
          <w:rFonts w:eastAsia="宋体" w:cs="宋体"/>
          <w:color w:val="auto"/>
          <w:sz w:val="24"/>
          <w:szCs w:val="21"/>
          <w:highlight w:val="none"/>
        </w:rPr>
      </w:pPr>
      <w:r>
        <w:rPr>
          <w:rFonts w:hint="eastAsia" w:eastAsia="宋体" w:cs="宋体"/>
          <w:color w:val="auto"/>
          <w:sz w:val="24"/>
          <w:szCs w:val="21"/>
          <w:highlight w:val="none"/>
        </w:rPr>
        <w:br w:type="page" w:clear="all"/>
      </w:r>
      <w:r>
        <w:rPr>
          <w:rFonts w:hint="eastAsia" w:eastAsia="宋体" w:cs="宋体"/>
          <w:color w:val="auto"/>
          <w:sz w:val="24"/>
          <w:szCs w:val="21"/>
          <w:highlight w:val="none"/>
        </w:rPr>
        <w:t xml:space="preserve">附件：</w:t>
      </w:r>
      <w:r/>
    </w:p>
    <w:p>
      <w:pPr>
        <w:contextualSpacing/>
        <w:ind w:firstLine="480"/>
        <w:jc w:val="center"/>
        <w:spacing w:line="360" w:lineRule="auto"/>
        <w:rPr>
          <w:rFonts w:eastAsia="宋体" w:cs="宋体"/>
          <w:bCs/>
          <w:color w:val="auto"/>
          <w:sz w:val="24"/>
          <w:szCs w:val="21"/>
          <w:highlight w:val="none"/>
        </w:rPr>
        <w:outlineLvl w:val="2"/>
      </w:pPr>
      <w:r>
        <w:rPr>
          <w:rFonts w:hint="eastAsia" w:eastAsia="宋体" w:cs="宋体"/>
          <w:bCs/>
          <w:color w:val="auto"/>
          <w:sz w:val="24"/>
          <w:szCs w:val="21"/>
          <w:highlight w:val="none"/>
        </w:rPr>
        <w:t xml:space="preserve">质疑函范本</w:t>
      </w:r>
      <w:r/>
    </w:p>
    <w:p>
      <w:pPr>
        <w:contextualSpacing/>
        <w:ind w:firstLine="480"/>
        <w:spacing w:line="360" w:lineRule="auto"/>
        <w:rPr>
          <w:rFonts w:eastAsia="宋体" w:cs="宋体"/>
          <w:bCs/>
          <w:color w:val="auto"/>
          <w:sz w:val="24"/>
          <w:szCs w:val="21"/>
          <w:highlight w:val="none"/>
        </w:rPr>
        <w:outlineLvl w:val="1"/>
      </w:pPr>
      <w:r/>
      <w:bookmarkStart w:id="105" w:name="_Toc20424"/>
      <w:r>
        <w:rPr>
          <w:rFonts w:hint="eastAsia" w:eastAsia="宋体" w:cs="宋体"/>
          <w:bCs/>
          <w:color w:val="auto"/>
          <w:sz w:val="24"/>
          <w:szCs w:val="21"/>
          <w:highlight w:val="none"/>
        </w:rPr>
        <w:t xml:space="preserve">一、质疑</w:t>
      </w:r>
      <w:r>
        <w:rPr>
          <w:rFonts w:hint="eastAsia" w:eastAsia="宋体" w:cs="宋体"/>
          <w:color w:val="auto"/>
          <w:sz w:val="24"/>
          <w:szCs w:val="21"/>
          <w:highlight w:val="none"/>
        </w:rPr>
        <w:t xml:space="preserve">投标人</w:t>
      </w:r>
      <w:r>
        <w:rPr>
          <w:rFonts w:hint="eastAsia" w:eastAsia="宋体" w:cs="宋体"/>
          <w:bCs/>
          <w:color w:val="auto"/>
          <w:sz w:val="24"/>
          <w:szCs w:val="21"/>
          <w:highlight w:val="none"/>
        </w:rPr>
        <w:t xml:space="preserve">基本信息</w:t>
      </w:r>
      <w:bookmarkEnd w:id="105"/>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质疑投标人：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地址：邮编：</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联系人：联系电话：</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授权代表：</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联系电话：</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地址：邮编：</w:t>
      </w:r>
      <w:r/>
    </w:p>
    <w:p>
      <w:pPr>
        <w:contextualSpacing/>
        <w:ind w:firstLine="480"/>
        <w:spacing w:line="360" w:lineRule="auto"/>
        <w:rPr>
          <w:rFonts w:eastAsia="宋体" w:cs="宋体"/>
          <w:bCs/>
          <w:color w:val="auto"/>
          <w:sz w:val="24"/>
          <w:szCs w:val="21"/>
          <w:highlight w:val="none"/>
        </w:rPr>
        <w:outlineLvl w:val="1"/>
      </w:pPr>
      <w:r/>
      <w:bookmarkStart w:id="106" w:name="_Toc26889"/>
      <w:r>
        <w:rPr>
          <w:rFonts w:hint="eastAsia" w:eastAsia="宋体" w:cs="宋体"/>
          <w:bCs/>
          <w:color w:val="auto"/>
          <w:sz w:val="24"/>
          <w:szCs w:val="21"/>
          <w:highlight w:val="none"/>
        </w:rPr>
        <w:t xml:space="preserve">二、质疑项目基本情况</w:t>
      </w:r>
      <w:bookmarkEnd w:id="106"/>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质疑项目的名称：</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质疑项目的编号：包号：</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招标人名称：</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招标文件获取日期：</w:t>
      </w:r>
      <w:r/>
    </w:p>
    <w:p>
      <w:pPr>
        <w:contextualSpacing/>
        <w:ind w:firstLine="480"/>
        <w:spacing w:line="360" w:lineRule="auto"/>
        <w:rPr>
          <w:rFonts w:eastAsia="宋体" w:cs="宋体"/>
          <w:bCs/>
          <w:color w:val="auto"/>
          <w:sz w:val="24"/>
          <w:szCs w:val="21"/>
          <w:highlight w:val="none"/>
        </w:rPr>
        <w:outlineLvl w:val="1"/>
      </w:pPr>
      <w:r/>
      <w:bookmarkStart w:id="107" w:name="_Toc13828"/>
      <w:r>
        <w:rPr>
          <w:rFonts w:hint="eastAsia" w:eastAsia="宋体" w:cs="宋体"/>
          <w:bCs/>
          <w:color w:val="auto"/>
          <w:sz w:val="24"/>
          <w:szCs w:val="21"/>
          <w:highlight w:val="none"/>
        </w:rPr>
        <w:t xml:space="preserve">三、质疑事项具体内容</w:t>
      </w:r>
      <w:bookmarkEnd w:id="107"/>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质疑事项1：</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事实依据：</w:t>
      </w:r>
      <w:r/>
    </w:p>
    <w:p>
      <w:pPr>
        <w:contextualSpacing/>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法律依据：</w:t>
      </w:r>
      <w:r/>
    </w:p>
    <w:p>
      <w:pPr>
        <w:contextualSpacing/>
        <w:ind w:firstLine="480"/>
        <w:spacing w:line="360" w:lineRule="auto"/>
        <w:rPr>
          <w:rFonts w:eastAsia="宋体" w:cs="宋体"/>
          <w:color w:val="auto"/>
          <w:sz w:val="24"/>
          <w:szCs w:val="21"/>
          <w:highlight w:val="none"/>
          <w:u w:val="single"/>
        </w:rPr>
      </w:pPr>
      <w:r>
        <w:rPr>
          <w:rFonts w:eastAsia="宋体" w:cs="宋体"/>
          <w:color w:val="auto"/>
          <w:sz w:val="24"/>
          <w:szCs w:val="21"/>
          <w:highlight w:val="none"/>
          <w:u w:val="single"/>
        </w:rPr>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质疑事项2</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w:t>
      </w:r>
      <w:r/>
    </w:p>
    <w:p>
      <w:pPr>
        <w:contextualSpacing/>
        <w:ind w:firstLine="480"/>
        <w:spacing w:line="360" w:lineRule="auto"/>
        <w:rPr>
          <w:rFonts w:eastAsia="宋体" w:cs="宋体"/>
          <w:bCs/>
          <w:color w:val="auto"/>
          <w:sz w:val="24"/>
          <w:szCs w:val="21"/>
          <w:highlight w:val="none"/>
        </w:rPr>
        <w:outlineLvl w:val="1"/>
      </w:pPr>
      <w:r/>
      <w:bookmarkStart w:id="108" w:name="_Toc524"/>
      <w:r>
        <w:rPr>
          <w:rFonts w:hint="eastAsia" w:eastAsia="宋体" w:cs="宋体"/>
          <w:bCs/>
          <w:color w:val="auto"/>
          <w:sz w:val="24"/>
          <w:szCs w:val="21"/>
          <w:highlight w:val="none"/>
        </w:rPr>
        <w:t xml:space="preserve">四、与质疑事项相关的质疑请求</w:t>
      </w:r>
      <w:bookmarkEnd w:id="108"/>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请求：</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签字(签章)：                   公章：                      </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日期：    </w:t>
      </w:r>
      <w:r/>
    </w:p>
    <w:p>
      <w:pPr>
        <w:contextualSpacing/>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contextualSpacing/>
        <w:ind w:firstLine="482"/>
        <w:spacing w:line="360" w:lineRule="auto"/>
        <w:rPr>
          <w:rFonts w:eastAsia="宋体" w:cs="宋体"/>
          <w:b/>
          <w:color w:val="auto"/>
          <w:sz w:val="24"/>
          <w:szCs w:val="21"/>
          <w:highlight w:val="none"/>
        </w:rPr>
      </w:pPr>
      <w:r>
        <w:rPr>
          <w:rFonts w:eastAsia="宋体" w:cs="宋体"/>
          <w:b/>
          <w:color w:val="auto"/>
          <w:sz w:val="24"/>
          <w:szCs w:val="21"/>
          <w:highlight w:val="none"/>
        </w:rPr>
      </w:r>
      <w:r/>
    </w:p>
    <w:p>
      <w:pPr>
        <w:spacing w:line="360" w:lineRule="auto"/>
        <w:rPr>
          <w:rFonts w:eastAsia="宋体" w:cs="宋体"/>
          <w:b/>
          <w:color w:val="auto"/>
          <w:sz w:val="24"/>
          <w:szCs w:val="21"/>
          <w:highlight w:val="none"/>
        </w:rPr>
      </w:pPr>
      <w:r>
        <w:rPr>
          <w:rFonts w:hint="eastAsia" w:eastAsia="宋体" w:cs="宋体"/>
          <w:b/>
          <w:color w:val="auto"/>
          <w:sz w:val="24"/>
          <w:szCs w:val="21"/>
          <w:highlight w:val="none"/>
        </w:rPr>
        <w:br w:type="page" w:clear="all"/>
      </w:r>
      <w:r/>
    </w:p>
    <w:p>
      <w:pPr>
        <w:contextualSpacing/>
        <w:ind w:firstLine="482"/>
        <w:spacing w:line="360" w:lineRule="auto"/>
        <w:rPr>
          <w:rFonts w:eastAsia="宋体" w:cs="宋体"/>
          <w:b/>
          <w:color w:val="auto"/>
          <w:sz w:val="24"/>
          <w:szCs w:val="21"/>
          <w:highlight w:val="none"/>
        </w:rPr>
      </w:pPr>
      <w:r>
        <w:rPr>
          <w:rFonts w:hint="eastAsia" w:eastAsia="宋体" w:cs="宋体"/>
          <w:b/>
          <w:color w:val="auto"/>
          <w:sz w:val="24"/>
          <w:szCs w:val="21"/>
          <w:highlight w:val="none"/>
        </w:rPr>
        <w:t xml:space="preserve">质疑函制作说明：</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1、投标人提出质疑时，应提交质疑函和必要的证明材料。</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3、质疑投标人若对项目的某一分包进行质疑，质疑函中应列明具体分包号。</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4、质疑函的质疑事项应具体、明确，并有必要的事实依据和法律依据。</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5、质疑函的质疑请求应与质疑事项相关。</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p>
    <w:p>
      <w:pPr>
        <w:contextualSpacing/>
        <w:ind w:firstLine="388"/>
        <w:jc w:val="center"/>
        <w:spacing w:line="360" w:lineRule="auto"/>
        <w:rPr>
          <w:rFonts w:eastAsia="宋体" w:cs="宋体"/>
          <w:b/>
          <w:color w:val="auto"/>
          <w:sz w:val="36"/>
          <w:szCs w:val="36"/>
          <w:highlight w:val="none"/>
        </w:rPr>
        <w:outlineLvl w:val="0"/>
      </w:pPr>
      <w:r>
        <w:rPr>
          <w:rFonts w:hint="eastAsia" w:eastAsia="宋体" w:cs="宋体"/>
          <w:b/>
          <w:color w:val="auto"/>
          <w:sz w:val="24"/>
          <w:szCs w:val="21"/>
          <w:highlight w:val="none"/>
        </w:rPr>
        <w:br w:type="page" w:clear="all"/>
      </w:r>
      <w:bookmarkStart w:id="109" w:name="_Toc19836"/>
      <w:r/>
      <w:bookmarkStart w:id="110" w:name="_Toc29584"/>
      <w:r>
        <w:rPr>
          <w:rFonts w:hint="eastAsia" w:eastAsia="宋体" w:cs="宋体"/>
          <w:b/>
          <w:color w:val="auto"/>
          <w:sz w:val="36"/>
          <w:szCs w:val="36"/>
          <w:highlight w:val="none"/>
        </w:rPr>
        <w:t xml:space="preserve">第八章 投标文件组成及格式</w:t>
      </w:r>
      <w:bookmarkEnd w:id="101"/>
      <w:r/>
      <w:bookmarkEnd w:id="109"/>
      <w:r/>
      <w:bookmarkEnd w:id="110"/>
      <w:r/>
      <w:r/>
    </w:p>
    <w:p>
      <w:pPr>
        <w:pStyle w:val="1080"/>
        <w:ind w:left="0" w:firstLine="522"/>
        <w:spacing w:line="360" w:lineRule="auto"/>
        <w:rPr>
          <w:rFonts w:hint="default" w:ascii="Times New Roman" w:eastAsia="宋体" w:cs="宋体"/>
          <w:b/>
          <w:color w:val="auto"/>
          <w:szCs w:val="21"/>
          <w:highlight w:val="none"/>
        </w:rPr>
        <w:outlineLvl w:val="1"/>
      </w:pPr>
      <w:r/>
      <w:bookmarkStart w:id="111" w:name="_Toc17214"/>
      <w:r>
        <w:rPr>
          <w:rFonts w:ascii="Times New Roman" w:eastAsia="宋体" w:cs="宋体"/>
          <w:b/>
          <w:color w:val="auto"/>
          <w:szCs w:val="21"/>
          <w:highlight w:val="none"/>
        </w:rPr>
        <w:t xml:space="preserve">一、资格审查文件</w:t>
      </w:r>
      <w:bookmarkEnd w:id="111"/>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w:t>
      </w:r>
      <w:bookmarkStart w:id="112" w:name="OLE_LINK6"/>
      <w:r>
        <w:rPr>
          <w:rFonts w:hint="eastAsia" w:eastAsia="宋体" w:cs="宋体"/>
          <w:bCs/>
          <w:color w:val="auto"/>
          <w:sz w:val="24"/>
          <w:szCs w:val="24"/>
          <w:highlight w:val="none"/>
        </w:rPr>
        <w:t xml:space="preserve">投标供应商具有独立承担民事责任能力，提供法人或者其他组织的营业执照等证明文件。</w:t>
      </w:r>
      <w:bookmarkEnd w:id="112"/>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投标人法定代表人参加投标的，必须提供法定代表人身份证明及法定代表人本人身份证复印件；非法定代表人参加投标的，必须提供法定代表人签名或盖章的授权委托书及法定代表人和被授权人两个人的身份证复印件（格式参见第八章）。</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w:t>
      </w:r>
      <w:bookmarkStart w:id="113" w:name="OLE_LINK5"/>
      <w:r>
        <w:rPr>
          <w:rFonts w:hint="eastAsia" w:eastAsia="宋体" w:cs="宋体"/>
          <w:bCs/>
          <w:color w:val="auto"/>
          <w:sz w:val="24"/>
          <w:szCs w:val="24"/>
          <w:highlight w:val="none"/>
        </w:rPr>
        <w:t xml:space="preserve">投标人符合《中华人民共和国政府采购法》第二十二条规定条件的声明函</w:t>
      </w:r>
      <w:bookmarkEnd w:id="113"/>
      <w:r>
        <w:rPr>
          <w:rFonts w:hint="eastAsia" w:eastAsia="宋体" w:cs="宋体"/>
          <w:bCs/>
          <w:color w:val="auto"/>
          <w:sz w:val="24"/>
          <w:szCs w:val="24"/>
          <w:highlight w:val="none"/>
        </w:rPr>
        <w:t xml:space="preserve">（格式参见第八章）。</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4、投标人须提供诚信承诺书</w:t>
      </w:r>
      <w:bookmarkStart w:id="114" w:name="OLE_LINK7"/>
      <w:r>
        <w:rPr>
          <w:rFonts w:hint="eastAsia" w:eastAsia="宋体" w:cs="宋体"/>
          <w:bCs/>
          <w:color w:val="auto"/>
          <w:sz w:val="24"/>
          <w:szCs w:val="24"/>
          <w:highlight w:val="none"/>
        </w:rPr>
        <w:t xml:space="preserve">（格式参见第八章）。</w:t>
      </w:r>
      <w:bookmarkEnd w:id="114"/>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5、供应商认为其它需要提交的资格审查证明材料。</w:t>
      </w:r>
      <w:r/>
    </w:p>
    <w:p>
      <w:pPr>
        <w:contextualSpacing/>
        <w:ind w:firstLine="482"/>
        <w:jc w:val="left"/>
        <w:spacing w:line="360" w:lineRule="auto"/>
        <w:rPr>
          <w:rFonts w:eastAsia="宋体" w:cs="宋体"/>
          <w:b/>
          <w:color w:val="auto"/>
          <w:sz w:val="24"/>
          <w:szCs w:val="21"/>
          <w:highlight w:val="none"/>
        </w:rPr>
        <w:outlineLvl w:val="1"/>
      </w:pPr>
      <w:r/>
      <w:bookmarkStart w:id="115" w:name="_Toc26033"/>
      <w:r>
        <w:rPr>
          <w:rFonts w:hint="eastAsia" w:eastAsia="宋体" w:cs="宋体"/>
          <w:b/>
          <w:color w:val="auto"/>
          <w:sz w:val="24"/>
          <w:szCs w:val="21"/>
          <w:highlight w:val="none"/>
        </w:rPr>
        <w:t xml:space="preserve">二、符合性审查文件</w:t>
      </w:r>
      <w:bookmarkEnd w:id="115"/>
      <w:r/>
      <w:r/>
    </w:p>
    <w:p>
      <w:pPr>
        <w:contextualSpacing/>
        <w:ind w:firstLine="480"/>
        <w:spacing w:line="360" w:lineRule="auto"/>
        <w:rPr>
          <w:rFonts w:eastAsia="宋体" w:cs="宋体"/>
          <w:bCs/>
          <w:color w:val="auto"/>
          <w:sz w:val="24"/>
          <w:szCs w:val="24"/>
          <w:highlight w:val="none"/>
        </w:rPr>
      </w:pPr>
      <w:r/>
      <w:bookmarkStart w:id="116" w:name="OLE_LINK9"/>
      <w:r>
        <w:rPr>
          <w:rFonts w:hint="eastAsia" w:eastAsia="宋体" w:cs="宋体"/>
          <w:bCs/>
          <w:color w:val="auto"/>
          <w:sz w:val="24"/>
          <w:szCs w:val="24"/>
          <w:highlight w:val="none"/>
        </w:rPr>
        <w:t xml:space="preserve">1、投标响应函（格式参见第八章）；</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2、投标人一般情况表（格式参见第八章）；</w:t>
      </w:r>
      <w:r/>
    </w:p>
    <w:p>
      <w:pPr>
        <w:contextualSpacing/>
        <w:ind w:firstLine="480"/>
        <w:spacing w:line="360" w:lineRule="auto"/>
        <w:rPr>
          <w:rFonts w:eastAsia="宋体" w:cs="宋体"/>
          <w:bCs/>
          <w:color w:val="auto"/>
          <w:sz w:val="24"/>
          <w:szCs w:val="24"/>
          <w:highlight w:val="none"/>
        </w:rPr>
      </w:pPr>
      <w:r>
        <w:rPr>
          <w:rFonts w:hint="eastAsia" w:eastAsia="宋体" w:cs="宋体"/>
          <w:color w:val="auto"/>
          <w:sz w:val="24"/>
          <w:highlight w:val="none"/>
        </w:rPr>
        <w:t xml:space="preserve">3、商务部分正负偏离表</w:t>
      </w:r>
      <w:r>
        <w:rPr>
          <w:rFonts w:hint="eastAsia" w:eastAsia="宋体" w:cs="宋体"/>
          <w:bCs/>
          <w:color w:val="auto"/>
          <w:sz w:val="24"/>
          <w:szCs w:val="24"/>
          <w:highlight w:val="none"/>
        </w:rPr>
        <w:t xml:space="preserve">（格式参见第八章）</w:t>
      </w:r>
      <w:r>
        <w:rPr>
          <w:rFonts w:hint="eastAsia" w:eastAsia="宋体" w:cs="宋体"/>
          <w:color w:val="auto"/>
          <w:sz w:val="24"/>
          <w:highlight w:val="none"/>
        </w:rPr>
        <w:t xml:space="preserve">；</w:t>
      </w:r>
      <w:r/>
    </w:p>
    <w:p>
      <w:pPr>
        <w:contextualSpacing/>
        <w:ind w:firstLine="480"/>
        <w:spacing w:line="360" w:lineRule="auto"/>
        <w:rPr>
          <w:rFonts w:eastAsia="宋体" w:cs="宋体"/>
          <w:color w:val="auto"/>
          <w:sz w:val="24"/>
          <w:highlight w:val="none"/>
        </w:rPr>
      </w:pPr>
      <w:r>
        <w:rPr>
          <w:rFonts w:hint="eastAsia" w:eastAsia="宋体" w:cs="宋体"/>
          <w:bCs/>
          <w:color w:val="auto"/>
          <w:sz w:val="24"/>
          <w:szCs w:val="24"/>
          <w:highlight w:val="none"/>
        </w:rPr>
        <w:t xml:space="preserve">4、</w:t>
      </w:r>
      <w:r>
        <w:rPr>
          <w:rFonts w:hint="eastAsia" w:eastAsia="宋体" w:cs="宋体"/>
          <w:color w:val="auto"/>
          <w:sz w:val="24"/>
          <w:highlight w:val="none"/>
        </w:rPr>
        <w:t xml:space="preserve">技术部分正负偏离表</w:t>
      </w:r>
      <w:r>
        <w:rPr>
          <w:rFonts w:hint="eastAsia" w:eastAsia="宋体" w:cs="宋体"/>
          <w:bCs/>
          <w:color w:val="auto"/>
          <w:sz w:val="24"/>
          <w:szCs w:val="24"/>
          <w:highlight w:val="none"/>
        </w:rPr>
        <w:t xml:space="preserve">（格式参见第八章）</w:t>
      </w:r>
      <w:r>
        <w:rPr>
          <w:rFonts w:hint="eastAsia" w:eastAsia="宋体" w:cs="宋体"/>
          <w:color w:val="auto"/>
          <w:sz w:val="24"/>
          <w:highlight w:val="none"/>
        </w:rPr>
        <w:t xml:space="preserve">；</w:t>
      </w:r>
      <w:bookmarkEnd w:id="116"/>
      <w:r/>
      <w:r/>
    </w:p>
    <w:p>
      <w:pPr>
        <w:contextualSpacing/>
        <w:ind w:firstLine="482"/>
        <w:jc w:val="left"/>
        <w:spacing w:line="360" w:lineRule="auto"/>
        <w:rPr>
          <w:rFonts w:eastAsia="宋体" w:cs="宋体"/>
          <w:b/>
          <w:bCs/>
          <w:color w:val="auto"/>
          <w:sz w:val="24"/>
          <w:szCs w:val="21"/>
          <w:highlight w:val="none"/>
        </w:rPr>
        <w:outlineLvl w:val="1"/>
      </w:pPr>
      <w:r/>
      <w:bookmarkStart w:id="117" w:name="_Toc3933"/>
      <w:r>
        <w:rPr>
          <w:rFonts w:hint="eastAsia" w:eastAsia="宋体" w:cs="宋体"/>
          <w:b/>
          <w:color w:val="auto"/>
          <w:sz w:val="24"/>
          <w:szCs w:val="21"/>
          <w:highlight w:val="none"/>
        </w:rPr>
        <w:t xml:space="preserve">三、商务技术标文件</w:t>
      </w:r>
      <w:bookmarkEnd w:id="117"/>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1、评标办法中所涉及的事项需提供的所有资料。</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2、招标文件中未涉及的事项，投标人认为需要提交的其他资料。</w:t>
      </w:r>
      <w:r/>
    </w:p>
    <w:p>
      <w:pPr>
        <w:contextualSpacing/>
        <w:ind w:firstLine="482"/>
        <w:jc w:val="left"/>
        <w:spacing w:line="360" w:lineRule="auto"/>
        <w:rPr>
          <w:rFonts w:eastAsia="宋体" w:cs="宋体"/>
          <w:b/>
          <w:bCs/>
          <w:color w:val="auto"/>
          <w:sz w:val="24"/>
          <w:szCs w:val="21"/>
          <w:highlight w:val="none"/>
        </w:rPr>
        <w:outlineLvl w:val="1"/>
      </w:pPr>
      <w:r/>
      <w:bookmarkStart w:id="118" w:name="_Toc19134"/>
      <w:r>
        <w:rPr>
          <w:rFonts w:hint="eastAsia" w:eastAsia="宋体" w:cs="宋体"/>
          <w:b/>
          <w:bCs/>
          <w:color w:val="auto"/>
          <w:sz w:val="24"/>
          <w:szCs w:val="21"/>
          <w:highlight w:val="none"/>
        </w:rPr>
        <w:t xml:space="preserve">四、价格标</w:t>
      </w:r>
      <w:bookmarkEnd w:id="118"/>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1、投标报价表（格式参见第八章）</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2、投标报价明细表（格式自拟）</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3、投标人须提供中小企业声明函或残疾人福利性单位声明函或监狱或戒毒企业证明材料（如是，则提供）。</w:t>
      </w:r>
      <w:r/>
    </w:p>
    <w:p>
      <w:pPr>
        <w:contextualSpacing/>
        <w:ind w:firstLine="480"/>
        <w:spacing w:line="360" w:lineRule="auto"/>
        <w:rPr>
          <w:rFonts w:eastAsia="宋体" w:cs="宋体"/>
          <w:bCs/>
          <w:color w:val="auto"/>
          <w:sz w:val="24"/>
          <w:szCs w:val="21"/>
          <w:highlight w:val="none"/>
        </w:rPr>
      </w:pPr>
      <w:r>
        <w:rPr>
          <w:rFonts w:eastAsia="宋体" w:cs="宋体"/>
          <w:bCs/>
          <w:color w:val="auto"/>
          <w:sz w:val="24"/>
          <w:szCs w:val="21"/>
          <w:highlight w:val="none"/>
        </w:rPr>
      </w:r>
      <w:r/>
    </w:p>
    <w:p>
      <w:pPr>
        <w:spacing w:line="360" w:lineRule="auto"/>
        <w:rPr>
          <w:rFonts w:eastAsia="宋体" w:cs="宋体"/>
          <w:color w:val="auto"/>
          <w:sz w:val="24"/>
          <w:szCs w:val="24"/>
          <w:highlight w:val="none"/>
        </w:rPr>
      </w:pPr>
      <w:r>
        <w:rPr>
          <w:rFonts w:hint="eastAsia" w:eastAsia="宋体" w:cs="宋体"/>
          <w:bCs/>
          <w:color w:val="auto"/>
          <w:sz w:val="24"/>
          <w:szCs w:val="21"/>
          <w:highlight w:val="none"/>
        </w:rPr>
        <w:br w:type="page" w:clear="all"/>
      </w:r>
      <w:r>
        <w:rPr>
          <w:rFonts w:hint="eastAsia" w:eastAsia="宋体" w:cs="宋体"/>
          <w:b/>
          <w:bCs/>
          <w:color w:val="auto"/>
          <w:sz w:val="24"/>
          <w:szCs w:val="21"/>
          <w:highlight w:val="none"/>
        </w:rPr>
        <w:t xml:space="preserve">附件：相关格式</w:t>
      </w:r>
      <w:r/>
    </w:p>
    <w:p>
      <w:pPr>
        <w:jc w:val="center"/>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jc w:val="center"/>
        <w:spacing w:line="360" w:lineRule="auto"/>
        <w:rPr>
          <w:rFonts w:eastAsia="宋体" w:cs="宋体"/>
          <w:b/>
          <w:bCs/>
          <w:color w:val="auto"/>
          <w:sz w:val="24"/>
          <w:szCs w:val="21"/>
          <w:highlight w:val="none"/>
        </w:rPr>
        <w:outlineLvl w:val="2"/>
      </w:pPr>
      <w:r>
        <w:rPr>
          <w:rFonts w:hint="eastAsia" w:eastAsia="宋体" w:cs="宋体"/>
          <w:b/>
          <w:bCs/>
          <w:color w:val="auto"/>
          <w:sz w:val="24"/>
          <w:szCs w:val="21"/>
          <w:highlight w:val="none"/>
        </w:rPr>
        <w:t xml:space="preserve">1、法定代表人身份证明</w:t>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u w:val="single"/>
        </w:rPr>
        <w:t xml:space="preserve">南通市医疗保障局</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我公司法定代表人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参加贵单位组织的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（招标项目名称、项目编号）的项目投标活动，全权代表我公司处理投标的有关事宜。</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5"/>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附：法定代表人情况：</w:t>
      </w:r>
      <w:r/>
    </w:p>
    <w:p>
      <w:pPr>
        <w:ind w:firstLine="485"/>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w:t>
      </w:r>
      <w:r>
        <w:rPr>
          <w:rFonts w:hint="eastAsia" w:eastAsia="宋体" w:cs="宋体"/>
          <w:color w:val="auto"/>
          <w:sz w:val="24"/>
          <w:szCs w:val="21"/>
          <w:highlight w:val="none"/>
          <w:u w:val="single"/>
        </w:rPr>
        <w:t xml:space="preserve">          </w:t>
      </w:r>
      <w:r/>
    </w:p>
    <w:p>
      <w:pPr>
        <w:ind w:firstLine="485"/>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身份证号码：</w:t>
      </w:r>
      <w:r>
        <w:rPr>
          <w:rFonts w:hint="eastAsia" w:eastAsia="宋体" w:cs="宋体"/>
          <w:color w:val="auto"/>
          <w:sz w:val="24"/>
          <w:szCs w:val="21"/>
          <w:highlight w:val="none"/>
          <w:u w:val="single"/>
        </w:rPr>
        <w:t xml:space="preserve">                                         </w:t>
      </w:r>
      <w:r/>
    </w:p>
    <w:p>
      <w:pPr>
        <w:ind w:firstLine="485"/>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传真：</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 </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单位名称（公章）                   法定代表人（签字或盖章）</w:t>
      </w:r>
      <w:r/>
    </w:p>
    <w:p>
      <w:pPr>
        <w:ind w:firstLine="120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                      年   月    日  </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pStyle w:val="1080"/>
        <w:ind w:left="0" w:firstLine="520"/>
        <w:spacing w:line="360" w:lineRule="auto"/>
        <w:rPr>
          <w:rFonts w:hint="default" w:ascii="Times New Roman" w:eastAsia="宋体" w:cs="宋体"/>
          <w:color w:val="auto"/>
          <w:highlight w:val="none"/>
        </w:rPr>
      </w:pPr>
      <w:r>
        <w:rPr>
          <w:rFonts w:hint="default" w:ascii="Times New Roman" w:eastAsia="宋体" w:cs="宋体"/>
          <w:color w:val="auto"/>
          <w:highlight w:val="none"/>
        </w:rPr>
      </w:r>
      <w:r/>
    </w:p>
    <w:p>
      <w:pPr>
        <w:ind w:firstLine="264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法定代表人身份证正反面扫描件</w:t>
      </w:r>
      <w:r/>
    </w:p>
    <w:p>
      <w:pPr>
        <w:ind w:firstLine="300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ind w:firstLine="2280"/>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jc w:val="center"/>
        <w:spacing w:line="360" w:lineRule="auto"/>
        <w:rPr>
          <w:rFonts w:eastAsia="宋体" w:cs="宋体"/>
          <w:b/>
          <w:bCs/>
          <w:color w:val="auto"/>
          <w:sz w:val="24"/>
          <w:szCs w:val="21"/>
          <w:highlight w:val="none"/>
        </w:rPr>
        <w:outlineLvl w:val="2"/>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rPr>
        <w:t xml:space="preserve">2、授权委托书</w:t>
      </w:r>
      <w:r/>
    </w:p>
    <w:p>
      <w:pPr>
        <w:spacing w:line="360" w:lineRule="auto"/>
        <w:rPr>
          <w:rFonts w:eastAsia="宋体" w:cs="宋体"/>
          <w:color w:val="auto"/>
          <w:sz w:val="24"/>
          <w:szCs w:val="21"/>
          <w:highlight w:val="none"/>
        </w:rPr>
      </w:pPr>
      <w:r>
        <w:rPr>
          <w:rFonts w:hint="eastAsia" w:eastAsia="宋体" w:cs="宋体"/>
          <w:color w:val="auto"/>
          <w:sz w:val="24"/>
          <w:szCs w:val="21"/>
          <w:highlight w:val="none"/>
          <w:u w:val="single"/>
        </w:rPr>
        <w:t xml:space="preserve">南通市医疗保障局</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被授权人的姓名）代表我公司参加</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（招标项目名称、项目编号）项目的投标活动，全权处理一切与该项目投标有关的事务。其在办理上述事宜过程中所签署的所有文件我公司均予以承认。</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被授权人无转委托权。特此委托。</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附：被授权人情况：</w:t>
      </w:r>
      <w:r/>
    </w:p>
    <w:p>
      <w:pPr>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身份证号码：</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传真：</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单位名称（公章）                      法定代表人（签字或盖章）</w:t>
      </w:r>
      <w:r/>
    </w:p>
    <w:p>
      <w:pPr>
        <w:ind w:firstLine="120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                        年   月   日</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法定代表人身份证正反面扫描件</w:t>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被授权人身份证正反面扫描件</w:t>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ind w:firstLine="482"/>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jc w:val="center"/>
        <w:spacing w:line="360" w:lineRule="auto"/>
        <w:rPr>
          <w:rFonts w:eastAsia="宋体" w:cs="宋体"/>
          <w:b/>
          <w:bCs/>
          <w:color w:val="auto"/>
          <w:sz w:val="24"/>
          <w:szCs w:val="21"/>
          <w:highlight w:val="none"/>
        </w:rPr>
        <w:outlineLvl w:val="2"/>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rPr>
        <w:t xml:space="preserve">3、投标人符合《政府采购法》第二十二条规定条件的声明函</w:t>
      </w:r>
      <w:r/>
    </w:p>
    <w:p>
      <w:pPr>
        <w:spacing w:line="360" w:lineRule="auto"/>
        <w:rPr>
          <w:rFonts w:eastAsia="宋体" w:cs="宋体"/>
          <w:color w:val="auto"/>
          <w:sz w:val="24"/>
          <w:szCs w:val="21"/>
          <w:highlight w:val="none"/>
          <w:u w:val="single"/>
        </w:rPr>
      </w:pPr>
      <w:r>
        <w:rPr>
          <w:rFonts w:eastAsia="宋体" w:cs="宋体"/>
          <w:color w:val="auto"/>
          <w:sz w:val="24"/>
          <w:szCs w:val="21"/>
          <w:highlight w:val="none"/>
          <w:u w:val="single"/>
        </w:rPr>
      </w:r>
      <w:r/>
    </w:p>
    <w:p>
      <w:pPr>
        <w:spacing w:line="360" w:lineRule="auto"/>
        <w:rPr>
          <w:rFonts w:eastAsia="宋体" w:cs="宋体"/>
          <w:bCs/>
          <w:color w:val="auto"/>
          <w:sz w:val="24"/>
          <w:szCs w:val="21"/>
          <w:highlight w:val="none"/>
        </w:rPr>
      </w:pPr>
      <w:r>
        <w:rPr>
          <w:rFonts w:hint="eastAsia" w:eastAsia="宋体" w:cs="宋体"/>
          <w:color w:val="auto"/>
          <w:sz w:val="24"/>
          <w:szCs w:val="21"/>
          <w:highlight w:val="none"/>
          <w:u w:val="single"/>
        </w:rPr>
        <w:t xml:space="preserve">南通市医疗保障局</w:t>
      </w:r>
      <w:r>
        <w:rPr>
          <w:rFonts w:hint="eastAsia" w:eastAsia="宋体" w:cs="宋体"/>
          <w:bCs/>
          <w:color w:val="auto"/>
          <w:sz w:val="24"/>
          <w:szCs w:val="21"/>
          <w:highlight w:val="none"/>
        </w:rPr>
        <w:t xml:space="preserve">：</w:t>
      </w:r>
      <w:r/>
    </w:p>
    <w:p>
      <w:pPr>
        <w:ind w:firstLine="480"/>
        <w:spacing w:line="360" w:lineRule="auto"/>
        <w:rPr>
          <w:rFonts w:eastAsia="宋体" w:cs="宋体"/>
          <w:b/>
          <w:bCs/>
          <w:color w:val="auto"/>
          <w:sz w:val="24"/>
          <w:szCs w:val="21"/>
          <w:highlight w:val="none"/>
        </w:rPr>
      </w:pPr>
      <w:r>
        <w:rPr>
          <w:rFonts w:hint="eastAsia" w:eastAsia="宋体" w:cs="宋体"/>
          <w:bCs/>
          <w:color w:val="auto"/>
          <w:sz w:val="24"/>
          <w:szCs w:val="21"/>
          <w:highlight w:val="none"/>
        </w:rPr>
        <w:t xml:space="preserve">我单位参加</w:t>
      </w:r>
      <w:r>
        <w:rPr>
          <w:rFonts w:hint="eastAsia" w:eastAsia="宋体" w:cs="宋体"/>
          <w:bCs/>
          <w:color w:val="auto"/>
          <w:sz w:val="24"/>
          <w:szCs w:val="21"/>
          <w:highlight w:val="none"/>
          <w:u w:val="single"/>
        </w:rPr>
        <w:t xml:space="preserve">________________ _</w:t>
      </w:r>
      <w:r>
        <w:rPr>
          <w:rFonts w:hint="eastAsia" w:eastAsia="宋体" w:cs="宋体"/>
          <w:bCs/>
          <w:color w:val="auto"/>
          <w:sz w:val="24"/>
          <w:szCs w:val="21"/>
          <w:highlight w:val="none"/>
        </w:rPr>
        <w:t xml:space="preserve">（项目名称），</w:t>
      </w:r>
      <w:r>
        <w:rPr>
          <w:rFonts w:hint="eastAsia" w:eastAsia="宋体" w:cs="宋体"/>
          <w:bCs/>
          <w:color w:val="auto"/>
          <w:sz w:val="24"/>
          <w:szCs w:val="21"/>
          <w:highlight w:val="none"/>
          <w:u w:val="single"/>
        </w:rPr>
        <w:t xml:space="preserve">_______ __________</w:t>
      </w:r>
      <w:r>
        <w:rPr>
          <w:rFonts w:hint="eastAsia" w:eastAsia="宋体" w:cs="宋体"/>
          <w:bCs/>
          <w:color w:val="auto"/>
          <w:sz w:val="24"/>
          <w:szCs w:val="21"/>
          <w:highlight w:val="none"/>
        </w:rPr>
        <w:t xml:space="preserve">（项目编号）投标活动。针对《中华人民共和国政府采购法》第二十二条规定做出如下声明：</w:t>
      </w:r>
      <w:r/>
    </w:p>
    <w:p>
      <w:pPr>
        <w:ind w:firstLine="480"/>
        <w:spacing w:line="360" w:lineRule="auto"/>
        <w:rPr>
          <w:rFonts w:eastAsia="宋体" w:cs="宋体"/>
          <w:color w:val="auto"/>
          <w:sz w:val="24"/>
          <w:szCs w:val="21"/>
          <w:highlight w:val="none"/>
        </w:rPr>
      </w:pPr>
      <w:r>
        <w:rPr>
          <w:rFonts w:hint="eastAsia" w:eastAsia="宋体" w:cs="宋体"/>
          <w:bCs/>
          <w:color w:val="auto"/>
          <w:sz w:val="24"/>
          <w:szCs w:val="21"/>
          <w:highlight w:val="none"/>
        </w:rPr>
        <w:t xml:space="preserve">1.我单位具有独立承担民事责任的能力；</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2.我单位具有良好的商业信誉和健全的财务会计制度；</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3.我单位具有履行合同所必需的设备和专业技术能力；</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4.我单位有依法缴纳税收和社会保障资金的良好记录；</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eastAsia="宋体" w:cs="宋体"/>
          <w:bCs/>
          <w:color w:val="auto"/>
          <w:sz w:val="24"/>
          <w:szCs w:val="21"/>
          <w:highlight w:val="none"/>
        </w:rPr>
      </w:pPr>
      <w:r>
        <w:rPr>
          <w:rFonts w:hint="eastAsia" w:eastAsia="宋体" w:cs="宋体"/>
          <w:color w:val="auto"/>
          <w:sz w:val="24"/>
          <w:szCs w:val="21"/>
          <w:highlight w:val="none"/>
        </w:rPr>
        <w:t xml:space="preserve">6.我单位满足法律、行政法规规定的其他条件。</w:t>
      </w:r>
      <w:r/>
    </w:p>
    <w:p>
      <w:pPr>
        <w:pStyle w:val="1033"/>
        <w:spacing w:line="360" w:lineRule="auto"/>
        <w:rPr>
          <w:rFonts w:ascii="Times New Roman" w:eastAsia="宋体" w:cs="宋体"/>
          <w:color w:val="auto"/>
          <w:highlight w:val="none"/>
        </w:rPr>
      </w:pPr>
      <w:r>
        <w:rPr>
          <w:rFonts w:ascii="Times New Roman" w:eastAsia="宋体" w:cs="宋体"/>
          <w:color w:val="auto"/>
          <w:highlight w:val="none"/>
        </w:rPr>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ind w:firstLine="132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年      月     日</w:t>
      </w:r>
      <w:r/>
    </w:p>
    <w:p>
      <w:pPr>
        <w:pStyle w:val="1033"/>
        <w:spacing w:line="360" w:lineRule="auto"/>
        <w:rPr>
          <w:rFonts w:ascii="Times New Roman" w:eastAsia="宋体" w:cs="宋体"/>
          <w:color w:val="auto"/>
          <w:highlight w:val="none"/>
        </w:rPr>
      </w:pPr>
      <w:r>
        <w:rPr>
          <w:rFonts w:ascii="Times New Roman" w:eastAsia="宋体" w:cs="宋体"/>
          <w:color w:val="auto"/>
          <w:highlight w:val="none"/>
        </w:rPr>
      </w:r>
      <w:r/>
    </w:p>
    <w:p>
      <w:pPr>
        <w:jc w:val="center"/>
        <w:spacing w:line="360" w:lineRule="auto"/>
        <w:rPr>
          <w:rFonts w:eastAsia="宋体" w:cs="宋体"/>
          <w:color w:val="auto"/>
          <w:sz w:val="24"/>
          <w:szCs w:val="21"/>
          <w:highlight w:val="none"/>
        </w:rPr>
        <w:outlineLvl w:val="2"/>
      </w:pPr>
      <w:r>
        <w:rPr>
          <w:rFonts w:hint="eastAsia" w:eastAsia="宋体" w:cs="宋体"/>
          <w:color w:val="auto"/>
          <w:sz w:val="24"/>
          <w:szCs w:val="21"/>
          <w:highlight w:val="none"/>
        </w:rPr>
        <w:br w:type="page" w:clear="all"/>
      </w:r>
      <w:r>
        <w:rPr>
          <w:rFonts w:hint="eastAsia" w:eastAsia="宋体" w:cs="宋体"/>
          <w:b/>
          <w:bCs/>
          <w:color w:val="auto"/>
          <w:sz w:val="24"/>
          <w:szCs w:val="21"/>
          <w:highlight w:val="none"/>
        </w:rPr>
        <w:t xml:space="preserve">4、诚信承诺书</w:t>
      </w:r>
      <w:r/>
    </w:p>
    <w:p>
      <w:pPr>
        <w:ind w:firstLine="420"/>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left"/>
        <w:spacing w:line="360" w:lineRule="auto"/>
        <w:rPr>
          <w:rFonts w:eastAsia="宋体" w:cs="宋体"/>
          <w:color w:val="auto"/>
          <w:sz w:val="24"/>
          <w:szCs w:val="21"/>
          <w:highlight w:val="none"/>
          <w:u w:val="single"/>
        </w:rPr>
      </w:pPr>
      <w:r>
        <w:rPr>
          <w:rFonts w:hint="eastAsia" w:eastAsia="宋体" w:cs="宋体"/>
          <w:color w:val="auto"/>
          <w:sz w:val="24"/>
          <w:szCs w:val="21"/>
          <w:highlight w:val="none"/>
          <w:u w:val="single"/>
        </w:rPr>
        <w:t xml:space="preserve">南通市医疗保障局：</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我单位在参加贵单位组织的</w:t>
      </w:r>
      <w:r>
        <w:rPr>
          <w:rFonts w:hint="eastAsia" w:eastAsia="宋体" w:cs="宋体"/>
          <w:color w:val="auto"/>
          <w:sz w:val="24"/>
          <w:szCs w:val="24"/>
          <w:highlight w:val="none"/>
          <w:u w:val="single"/>
        </w:rPr>
        <w:t xml:space="preserve">             项目</w:t>
      </w:r>
      <w:r>
        <w:rPr>
          <w:rFonts w:hint="eastAsia" w:eastAsia="宋体" w:cs="宋体"/>
          <w:color w:val="auto"/>
          <w:sz w:val="24"/>
          <w:szCs w:val="24"/>
          <w:highlight w:val="none"/>
        </w:rPr>
        <w:t xml:space="preserve">的招投标活动中，郑重承诺如下：</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1、我方申报的所有资料都是真实、准确、完整的；</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2、我方无资质挂靠或参与串标、围标、及抬标情形；</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3、我方没有被各级行政主管部门做出停止市场行为的处罚；</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4、若我方中标，将严格按照规定及时与招标单位签订合同；</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5、若我方中标，将严格按照投标文件所承诺的报价、服务等内容组织实施；</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6、我方未被“信用中国”网站（www.creditchina.gov.cn）列入失信被执行人、重大税收违法案件当事人名单、政府采购严重失信行为记录名单；</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20"/>
        <w:jc w:val="lef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20"/>
        <w:jc w:val="lef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1"/>
          <w:highlight w:val="none"/>
        </w:rPr>
        <w:t xml:space="preserve"> </w:t>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 xml:space="preserve">               </w:t>
      </w: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ind w:firstLine="132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年      月     日</w:t>
      </w:r>
      <w:r/>
    </w:p>
    <w:p>
      <w:pPr>
        <w:ind w:firstLine="420"/>
        <w:jc w:val="left"/>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sz w:val="24"/>
          <w:szCs w:val="26"/>
          <w:highlight w:val="none"/>
        </w:rPr>
      </w:pPr>
      <w:r>
        <w:rPr>
          <w:rFonts w:eastAsia="宋体" w:cs="宋体"/>
          <w:color w:val="auto"/>
          <w:sz w:val="24"/>
          <w:szCs w:val="26"/>
          <w:highlight w:val="none"/>
        </w:rPr>
      </w:r>
      <w:r/>
    </w:p>
    <w:p>
      <w:pPr>
        <w:spacing w:line="360" w:lineRule="auto"/>
        <w:rPr>
          <w:rFonts w:eastAsia="宋体" w:cs="宋体"/>
          <w:b/>
          <w:bCs/>
          <w:color w:val="auto"/>
          <w:sz w:val="24"/>
          <w:szCs w:val="21"/>
          <w:highlight w:val="none"/>
        </w:rPr>
      </w:pPr>
      <w:r>
        <w:rPr>
          <w:rFonts w:hint="eastAsia" w:eastAsia="宋体" w:cs="宋体"/>
          <w:b/>
          <w:bCs/>
          <w:color w:val="auto"/>
          <w:sz w:val="24"/>
          <w:szCs w:val="21"/>
          <w:highlight w:val="none"/>
        </w:rPr>
        <w:br w:type="page" w:clear="all"/>
      </w:r>
      <w:r/>
    </w:p>
    <w:p>
      <w:pPr>
        <w:jc w:val="center"/>
        <w:spacing w:line="360" w:lineRule="auto"/>
        <w:rPr>
          <w:rFonts w:eastAsia="宋体" w:cs="宋体"/>
          <w:b/>
          <w:bCs/>
          <w:color w:val="auto"/>
          <w:sz w:val="24"/>
          <w:szCs w:val="21"/>
          <w:highlight w:val="none"/>
        </w:rPr>
        <w:outlineLvl w:val="2"/>
      </w:pPr>
      <w:r>
        <w:rPr>
          <w:rFonts w:hint="eastAsia" w:eastAsia="宋体" w:cs="宋体"/>
          <w:b/>
          <w:bCs/>
          <w:color w:val="auto"/>
          <w:sz w:val="24"/>
          <w:szCs w:val="21"/>
          <w:highlight w:val="none"/>
        </w:rPr>
        <w:t xml:space="preserve">5、投标响应函</w:t>
      </w:r>
      <w:r/>
    </w:p>
    <w:p>
      <w:pPr>
        <w:jc w:val="left"/>
        <w:spacing w:line="360" w:lineRule="auto"/>
        <w:rPr>
          <w:rFonts w:eastAsia="宋体" w:cs="宋体"/>
          <w:color w:val="auto"/>
          <w:sz w:val="24"/>
          <w:szCs w:val="21"/>
          <w:highlight w:val="none"/>
        </w:rPr>
      </w:pPr>
      <w:r>
        <w:rPr>
          <w:rFonts w:hint="eastAsia" w:eastAsia="宋体" w:cs="宋体"/>
          <w:color w:val="auto"/>
          <w:sz w:val="24"/>
          <w:szCs w:val="21"/>
          <w:highlight w:val="none"/>
          <w:u w:val="single"/>
        </w:rPr>
        <w:t xml:space="preserve">南通市医疗保障局</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依据贵单位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（招标项目名称、项目编号）项目公开招标采购的邀请，我方授权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（职务）为全权代表参加该项目的投标工作，全权处理本次投标的有关事宜。同时，我公司声明如下：</w:t>
      </w:r>
      <w:r/>
    </w:p>
    <w:p>
      <w:pPr>
        <w:ind w:firstLine="494"/>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1、我方同意并接受本项目招标文件的各项要求，遵守招标文件中的各项规定，按招标文件的要求提供报价。</w:t>
      </w:r>
      <w:r/>
    </w:p>
    <w:p>
      <w:pPr>
        <w:ind w:firstLine="494"/>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3、我方愿意提供招标人在招标文件中要求的所有资料。</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4、我方承诺在本次招标响应中提供的一切文件，无论是原件还是扫描件均真实有效，绝无任何虚假、伪造和夸大的成份。否则，愿承担相应的后果和法律责任。</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5、我方尊重评标小组所作的评定结果，同时也清楚理解到投标报价最低并非意味着必定获得中标资格。</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6、一旦我方中标，我方将根据招标文件的规定，严格履行招标文件中规定的每一项要求，按期、按质、按量履行合同的义务。 </w:t>
      </w:r>
      <w:r/>
    </w:p>
    <w:p>
      <w:pPr>
        <w:ind w:firstLine="2400"/>
        <w:jc w:val="righ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240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（加盖公章）</w:t>
      </w:r>
      <w:r/>
    </w:p>
    <w:p>
      <w:pPr>
        <w:ind w:firstLine="240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（签字或盖章）</w:t>
      </w:r>
      <w:r/>
    </w:p>
    <w:p>
      <w:pPr>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w:t>
      </w:r>
      <w:r/>
    </w:p>
    <w:p>
      <w:pPr>
        <w:pStyle w:val="1017"/>
        <w:ind w:firstLine="0"/>
        <w:spacing w:line="360" w:lineRule="auto"/>
        <w:rPr>
          <w:rFonts w:eastAsia="宋体" w:cs="宋体"/>
          <w:color w:val="auto"/>
          <w:szCs w:val="24"/>
          <w:highlight w:val="none"/>
        </w:rPr>
      </w:pPr>
      <w:r>
        <w:rPr>
          <w:rFonts w:eastAsia="宋体" w:cs="宋体"/>
          <w:color w:val="auto"/>
          <w:szCs w:val="24"/>
          <w:highlight w:val="none"/>
        </w:rPr>
      </w:r>
      <w:r/>
    </w:p>
    <w:p>
      <w:pPr>
        <w:pStyle w:val="1017"/>
        <w:ind w:firstLine="0"/>
        <w:jc w:val="center"/>
        <w:spacing w:line="360" w:lineRule="auto"/>
        <w:rPr>
          <w:rFonts w:eastAsia="宋体" w:cs="宋体"/>
          <w:color w:val="auto"/>
          <w:szCs w:val="22"/>
          <w:highlight w:val="none"/>
          <w:lang w:val="zh-CN" w:bidi="zh-CN"/>
        </w:rPr>
        <w:sectPr>
          <w:footerReference w:type="default" r:id="rId20"/>
          <w:footnotePr/>
          <w:endnotePr/>
          <w:type w:val="nextPage"/>
          <w:pgSz w:w="11905" w:h="16838" w:orient="portrait"/>
          <w:pgMar w:top="1417" w:right="1701" w:bottom="1587" w:left="1701" w:header="850" w:footer="992" w:gutter="0"/>
          <w:cols w:num="1" w:sep="0" w:space="1701" w:equalWidth="1"/>
          <w:docGrid w:linePitch="360"/>
        </w:sectPr>
      </w:pPr>
      <w:r>
        <w:rPr>
          <w:rFonts w:eastAsia="宋体" w:cs="宋体"/>
          <w:color w:val="auto"/>
          <w:szCs w:val="22"/>
          <w:highlight w:val="none"/>
          <w:lang w:val="zh-CN" w:bidi="zh-CN"/>
        </w:rPr>
      </w:r>
      <w:r/>
    </w:p>
    <w:p>
      <w:pPr>
        <w:jc w:val="center"/>
        <w:spacing w:line="360" w:lineRule="auto"/>
        <w:rPr>
          <w:rFonts w:eastAsia="宋体" w:cs="宋体"/>
          <w:b/>
          <w:bCs/>
          <w:color w:val="auto"/>
          <w:szCs w:val="21"/>
          <w:highlight w:val="none"/>
        </w:rPr>
        <w:outlineLvl w:val="2"/>
      </w:pPr>
      <w:r>
        <w:rPr>
          <w:rFonts w:hint="eastAsia" w:eastAsia="宋体" w:cs="宋体"/>
          <w:b/>
          <w:bCs/>
          <w:color w:val="auto"/>
          <w:szCs w:val="21"/>
          <w:highlight w:val="none"/>
        </w:rPr>
        <w:t xml:space="preserve">6、</w:t>
      </w:r>
      <w:r>
        <w:rPr>
          <w:rFonts w:hint="eastAsia" w:eastAsia="宋体" w:cs="宋体"/>
          <w:b/>
          <w:bCs/>
          <w:color w:val="auto"/>
          <w:szCs w:val="24"/>
          <w:highlight w:val="none"/>
        </w:rPr>
        <w:t xml:space="preserve">投标人一般情况表</w:t>
      </w:r>
      <w:r/>
    </w:p>
    <w:tbl>
      <w:tblPr>
        <w:tblStyle w:val="92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公司具备的相关资质等级及相应的证书号</w:t>
            </w:r>
            <w:r/>
          </w:p>
          <w:p>
            <w:pP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（请附有关证书的扫描件）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公司</w:t>
            </w:r>
            <w:r>
              <w:rPr>
                <w:rFonts w:hint="eastAsia" w:eastAsia="宋体" w:cs="宋体"/>
                <w:color w:val="auto"/>
                <w:sz w:val="24"/>
                <w:szCs w:val="24"/>
                <w:highlight w:val="none"/>
                <w:u w:val="single"/>
              </w:rPr>
              <w:t xml:space="preserve">          （是否通过，何种）</w:t>
            </w:r>
            <w:r>
              <w:rPr>
                <w:rFonts w:hint="eastAsia" w:eastAsia="宋体" w:cs="宋体"/>
                <w:color w:val="auto"/>
                <w:sz w:val="24"/>
                <w:szCs w:val="24"/>
                <w:highlight w:val="none"/>
              </w:rPr>
              <w:t xml:space="preserve">质量保证体系认证（如通过请附相关在有效期内的证书扫描件）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营业执照载明：</w:t>
            </w:r>
            <w:r/>
          </w:p>
          <w:p>
            <w:pPr>
              <w:spacing w:line="360" w:lineRule="auto"/>
              <w:rPr>
                <w:rFonts w:eastAsia="宋体" w:cs="宋体"/>
                <w:color w:val="auto"/>
                <w:sz w:val="24"/>
                <w:szCs w:val="24"/>
                <w:highlight w:val="none"/>
                <w:u w:val="single"/>
              </w:rPr>
            </w:pPr>
            <w:r>
              <w:rPr>
                <w:rFonts w:hint="eastAsia" w:eastAsia="宋体" w:cs="宋体"/>
                <w:color w:val="auto"/>
                <w:sz w:val="24"/>
                <w:szCs w:val="24"/>
                <w:highlight w:val="none"/>
              </w:rPr>
              <w:t xml:space="preserve">1.</w:t>
            </w:r>
            <w:r>
              <w:rPr>
                <w:rFonts w:hint="eastAsia" w:eastAsia="宋体" w:cs="宋体"/>
                <w:color w:val="auto"/>
                <w:sz w:val="24"/>
                <w:szCs w:val="24"/>
                <w:highlight w:val="none"/>
                <w:u w:val="single"/>
              </w:rPr>
              <w:t xml:space="preserve">                                               </w:t>
            </w:r>
            <w:r/>
          </w:p>
          <w:p>
            <w:pPr>
              <w:spacing w:line="360" w:lineRule="auto"/>
              <w:rPr>
                <w:rFonts w:eastAsia="宋体" w:cs="宋体"/>
                <w:color w:val="auto"/>
                <w:sz w:val="24"/>
                <w:szCs w:val="24"/>
                <w:highlight w:val="none"/>
                <w:u w:val="single"/>
              </w:rPr>
            </w:pPr>
            <w:r>
              <w:rPr>
                <w:rFonts w:hint="eastAsia" w:eastAsia="宋体" w:cs="宋体"/>
                <w:color w:val="auto"/>
                <w:sz w:val="24"/>
                <w:szCs w:val="24"/>
                <w:highlight w:val="none"/>
              </w:rPr>
              <w:t xml:space="preserve">2.</w:t>
            </w:r>
            <w:r>
              <w:rPr>
                <w:rFonts w:hint="eastAsia" w:eastAsia="宋体" w:cs="宋体"/>
                <w:color w:val="auto"/>
                <w:sz w:val="24"/>
                <w:szCs w:val="24"/>
                <w:highlight w:val="none"/>
                <w:u w:val="single"/>
              </w:rPr>
              <w:t xml:space="preserve">                                               </w:t>
            </w:r>
            <w:r/>
          </w:p>
          <w:p>
            <w:pP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eastAsia="宋体" w:cs="宋体"/>
                <w:color w:val="auto"/>
                <w:sz w:val="24"/>
                <w:szCs w:val="24"/>
                <w:highlight w:val="none"/>
              </w:rPr>
            </w:pPr>
            <w:r>
              <w:rPr>
                <w:rFonts w:eastAsia="宋体" w:cs="宋体"/>
                <w:color w:val="auto"/>
                <w:sz w:val="24"/>
                <w:szCs w:val="24"/>
                <w:highlight w:val="none"/>
              </w:rPr>
            </w:r>
            <w:r/>
          </w:p>
        </w:tc>
      </w:tr>
    </w:tbl>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ind w:firstLine="132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年      月     日</w:t>
      </w:r>
      <w:r/>
    </w:p>
    <w:p>
      <w:pPr>
        <w:jc w:val="right"/>
        <w:spacing w:line="360" w:lineRule="auto"/>
        <w:rPr>
          <w:rFonts w:eastAsia="宋体" w:cs="宋体"/>
          <w:b/>
          <w:bCs/>
          <w:color w:val="auto"/>
          <w:szCs w:val="24"/>
          <w:highlight w:val="none"/>
        </w:rPr>
      </w:pPr>
      <w:r>
        <w:rPr>
          <w:rFonts w:hint="eastAsia" w:eastAsia="宋体" w:cs="宋体"/>
          <w:b/>
          <w:bCs/>
          <w:color w:val="auto"/>
          <w:szCs w:val="21"/>
          <w:highlight w:val="none"/>
        </w:rPr>
        <w:br w:type="page" w:clear="all"/>
      </w:r>
      <w:r/>
    </w:p>
    <w:p>
      <w:pPr>
        <w:jc w:val="center"/>
        <w:spacing w:line="360" w:lineRule="auto"/>
        <w:rPr>
          <w:rFonts w:eastAsia="宋体" w:cs="宋体"/>
          <w:b/>
          <w:color w:val="auto"/>
          <w:sz w:val="32"/>
          <w:szCs w:val="32"/>
          <w:highlight w:val="none"/>
        </w:rPr>
        <w:outlineLvl w:val="2"/>
      </w:pPr>
      <w:r>
        <w:rPr>
          <w:rFonts w:hint="eastAsia" w:eastAsia="宋体" w:cs="宋体"/>
          <w:b/>
          <w:bCs/>
          <w:color w:val="auto"/>
          <w:szCs w:val="24"/>
          <w:highlight w:val="none"/>
        </w:rPr>
        <w:t xml:space="preserve">7、商务部分正负偏离表</w:t>
      </w:r>
      <w:r/>
    </w:p>
    <w:p>
      <w:pPr>
        <w:ind w:firstLine="560"/>
        <w:jc w:val="center"/>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（由供应商据实填写，表格不够自行添加）</w:t>
      </w:r>
      <w:r/>
    </w:p>
    <w:tbl>
      <w:tblPr>
        <w:tblStyle w:val="923"/>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2"/>
        <w:gridCol w:w="2177"/>
        <w:gridCol w:w="1906"/>
        <w:gridCol w:w="2449"/>
        <w:gridCol w:w="1365"/>
      </w:tblGrid>
      <w:tr>
        <w:trPr>
          <w:trHeight w:val="994"/>
        </w:trPr>
        <w:tc>
          <w:tcPr>
            <w:tcW w:w="854" w:type="dxa"/>
            <w:vAlign w:val="center"/>
            <w:textDirection w:val="lrTb"/>
            <w:noWrap w:val="false"/>
          </w:tcPr>
          <w:p>
            <w:pPr>
              <w:jc w:val="center"/>
              <w:spacing w:line="360" w:lineRule="auto"/>
              <w:rPr>
                <w:rFonts w:eastAsia="宋体" w:cs="宋体"/>
                <w:color w:val="auto"/>
                <w:sz w:val="24"/>
                <w:highlight w:val="none"/>
              </w:rPr>
            </w:pPr>
            <w:r>
              <w:rPr>
                <w:rFonts w:hint="eastAsia" w:eastAsia="宋体" w:cs="宋体"/>
                <w:color w:val="auto"/>
                <w:sz w:val="24"/>
                <w:highlight w:val="none"/>
              </w:rPr>
              <w:t xml:space="preserve">序号</w:t>
            </w:r>
            <w:r/>
          </w:p>
        </w:tc>
        <w:tc>
          <w:tcPr>
            <w:tcW w:w="2329" w:type="dxa"/>
            <w:vAlign w:val="center"/>
            <w:textDirection w:val="lrTb"/>
            <w:noWrap w:val="false"/>
          </w:tcPr>
          <w:p>
            <w:pPr>
              <w:jc w:val="center"/>
              <w:spacing w:line="360" w:lineRule="auto"/>
              <w:rPr>
                <w:rFonts w:eastAsia="宋体" w:cs="宋体"/>
                <w:color w:val="auto"/>
                <w:sz w:val="24"/>
                <w:highlight w:val="none"/>
              </w:rPr>
            </w:pPr>
            <w:r>
              <w:rPr>
                <w:rFonts w:hint="eastAsia" w:eastAsia="宋体" w:cs="宋体"/>
                <w:color w:val="auto"/>
                <w:sz w:val="24"/>
                <w:highlight w:val="none"/>
              </w:rPr>
              <w:t xml:space="preserve">货物或服务名称</w:t>
            </w:r>
            <w:r/>
          </w:p>
        </w:tc>
        <w:tc>
          <w:tcPr>
            <w:tcW w:w="2034" w:type="dxa"/>
            <w:vAlign w:val="center"/>
            <w:textDirection w:val="lrTb"/>
            <w:noWrap w:val="false"/>
          </w:tcPr>
          <w:p>
            <w:pPr>
              <w:jc w:val="center"/>
              <w:spacing w:line="360" w:lineRule="auto"/>
              <w:rPr>
                <w:rFonts w:eastAsia="宋体" w:cs="宋体"/>
                <w:color w:val="auto"/>
                <w:sz w:val="24"/>
                <w:highlight w:val="none"/>
              </w:rPr>
            </w:pPr>
            <w:r>
              <w:rPr>
                <w:rFonts w:hint="eastAsia" w:eastAsia="宋体" w:cs="宋体"/>
                <w:color w:val="auto"/>
                <w:sz w:val="24"/>
                <w:highlight w:val="none"/>
              </w:rPr>
              <w:t xml:space="preserve">招标文件要求的商务条款</w:t>
            </w:r>
            <w:r/>
          </w:p>
        </w:tc>
        <w:tc>
          <w:tcPr>
            <w:tcW w:w="2624" w:type="dxa"/>
            <w:vAlign w:val="center"/>
            <w:textDirection w:val="lrTb"/>
            <w:noWrap w:val="false"/>
          </w:tcPr>
          <w:p>
            <w:pPr>
              <w:jc w:val="center"/>
              <w:spacing w:line="360" w:lineRule="auto"/>
              <w:rPr>
                <w:rFonts w:eastAsia="宋体" w:cs="宋体"/>
                <w:color w:val="auto"/>
                <w:sz w:val="24"/>
                <w:highlight w:val="none"/>
              </w:rPr>
            </w:pPr>
            <w:r>
              <w:rPr>
                <w:rFonts w:hint="eastAsia" w:eastAsia="宋体" w:cs="宋体"/>
                <w:color w:val="auto"/>
                <w:sz w:val="24"/>
                <w:highlight w:val="none"/>
              </w:rPr>
              <w:t xml:space="preserve">投标文件响应情况</w:t>
            </w:r>
            <w:r/>
          </w:p>
        </w:tc>
        <w:tc>
          <w:tcPr>
            <w:tcW w:w="1445" w:type="dxa"/>
            <w:textDirection w:val="lrTb"/>
            <w:noWrap w:val="false"/>
          </w:tcPr>
          <w:p>
            <w:pPr>
              <w:jc w:val="center"/>
              <w:spacing w:line="360" w:lineRule="auto"/>
              <w:rPr>
                <w:rFonts w:eastAsia="宋体" w:cs="宋体"/>
                <w:color w:val="auto"/>
                <w:sz w:val="24"/>
                <w:highlight w:val="none"/>
              </w:rPr>
            </w:pPr>
            <w:r>
              <w:rPr>
                <w:rFonts w:eastAsia="宋体" w:cs="宋体"/>
                <w:color w:val="auto"/>
                <w:sz w:val="24"/>
                <w:highlight w:val="none"/>
              </w:rPr>
            </w:r>
            <w:r/>
          </w:p>
          <w:p>
            <w:pPr>
              <w:jc w:val="center"/>
              <w:spacing w:line="360" w:lineRule="auto"/>
              <w:rPr>
                <w:rFonts w:eastAsia="宋体" w:cs="宋体"/>
                <w:color w:val="auto"/>
                <w:sz w:val="24"/>
                <w:highlight w:val="none"/>
              </w:rPr>
            </w:pPr>
            <w:r>
              <w:rPr>
                <w:rFonts w:hint="eastAsia" w:eastAsia="宋体" w:cs="宋体"/>
                <w:color w:val="auto"/>
                <w:sz w:val="24"/>
                <w:highlight w:val="none"/>
              </w:rPr>
              <w:t xml:space="preserve">偏离说明</w:t>
            </w:r>
            <w:r/>
          </w:p>
        </w:tc>
      </w:tr>
      <w:tr>
        <w:trPr>
          <w:trHeight w:val="414"/>
        </w:trPr>
        <w:tc>
          <w:tcPr>
            <w:tcW w:w="854" w:type="dxa"/>
            <w:textDirection w:val="lrTb"/>
            <w:noWrap w:val="false"/>
          </w:tcPr>
          <w:p>
            <w:pPr>
              <w:jc w:val="center"/>
              <w:spacing w:line="360" w:lineRule="auto"/>
              <w:rPr>
                <w:rFonts w:eastAsia="宋体" w:cs="宋体"/>
                <w:color w:val="auto"/>
                <w:sz w:val="24"/>
                <w:highlight w:val="none"/>
              </w:rPr>
            </w:pPr>
            <w:r>
              <w:rPr>
                <w:rFonts w:hint="eastAsia" w:eastAsia="宋体" w:cs="宋体"/>
                <w:color w:val="auto"/>
                <w:sz w:val="24"/>
                <w:highlight w:val="none"/>
              </w:rPr>
              <w:t xml:space="preserve">1</w:t>
            </w:r>
            <w:r/>
          </w:p>
        </w:tc>
        <w:tc>
          <w:tcPr>
            <w:tcW w:w="2329"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2034"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2624"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1445" w:type="dxa"/>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r>
      <w:tr>
        <w:trPr>
          <w:trHeight w:val="548"/>
        </w:trPr>
        <w:tc>
          <w:tcPr>
            <w:tcW w:w="854" w:type="dxa"/>
            <w:textDirection w:val="lrTb"/>
            <w:noWrap w:val="false"/>
          </w:tcPr>
          <w:p>
            <w:pPr>
              <w:jc w:val="center"/>
              <w:spacing w:line="360" w:lineRule="auto"/>
              <w:rPr>
                <w:rFonts w:eastAsia="宋体" w:cs="宋体"/>
                <w:color w:val="auto"/>
                <w:sz w:val="24"/>
                <w:highlight w:val="none"/>
              </w:rPr>
            </w:pPr>
            <w:r>
              <w:rPr>
                <w:rFonts w:hint="eastAsia" w:eastAsia="宋体" w:cs="宋体"/>
                <w:color w:val="auto"/>
                <w:sz w:val="24"/>
                <w:highlight w:val="none"/>
              </w:rPr>
              <w:t xml:space="preserve">2</w:t>
            </w:r>
            <w:r/>
          </w:p>
        </w:tc>
        <w:tc>
          <w:tcPr>
            <w:tcW w:w="2329"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2034"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2624"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1445" w:type="dxa"/>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r>
      <w:tr>
        <w:trPr>
          <w:trHeight w:val="400"/>
        </w:trPr>
        <w:tc>
          <w:tcPr>
            <w:tcW w:w="854" w:type="dxa"/>
            <w:textDirection w:val="lrTb"/>
            <w:noWrap w:val="false"/>
          </w:tcPr>
          <w:p>
            <w:pPr>
              <w:jc w:val="center"/>
              <w:spacing w:line="360" w:lineRule="auto"/>
              <w:rPr>
                <w:rFonts w:eastAsia="宋体" w:cs="宋体"/>
                <w:color w:val="auto"/>
                <w:sz w:val="24"/>
                <w:highlight w:val="none"/>
              </w:rPr>
            </w:pPr>
            <w:r>
              <w:rPr>
                <w:rFonts w:hint="eastAsia" w:eastAsia="宋体" w:cs="宋体"/>
                <w:color w:val="auto"/>
                <w:sz w:val="24"/>
                <w:highlight w:val="none"/>
              </w:rPr>
              <w:t xml:space="preserve">3</w:t>
            </w:r>
            <w:r/>
          </w:p>
        </w:tc>
        <w:tc>
          <w:tcPr>
            <w:tcW w:w="2329"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2034"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2624"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1445" w:type="dxa"/>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r>
      <w:tr>
        <w:trPr>
          <w:trHeight w:val="419"/>
        </w:trPr>
        <w:tc>
          <w:tcPr>
            <w:tcW w:w="854" w:type="dxa"/>
            <w:textDirection w:val="lrTb"/>
            <w:noWrap w:val="false"/>
          </w:tcPr>
          <w:p>
            <w:pPr>
              <w:jc w:val="center"/>
              <w:spacing w:line="360" w:lineRule="auto"/>
              <w:rPr>
                <w:rFonts w:eastAsia="宋体" w:cs="宋体"/>
                <w:color w:val="auto"/>
                <w:sz w:val="24"/>
                <w:highlight w:val="none"/>
              </w:rPr>
            </w:pPr>
            <w:r>
              <w:rPr>
                <w:rFonts w:hint="eastAsia" w:eastAsia="宋体" w:cs="宋体"/>
                <w:color w:val="auto"/>
                <w:sz w:val="24"/>
                <w:highlight w:val="none"/>
              </w:rPr>
              <w:t xml:space="preserve">4</w:t>
            </w:r>
            <w:r/>
          </w:p>
        </w:tc>
        <w:tc>
          <w:tcPr>
            <w:tcW w:w="2329"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2034"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2624" w:type="dxa"/>
            <w:vAlign w:val="center"/>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c>
          <w:tcPr>
            <w:tcW w:w="1445" w:type="dxa"/>
            <w:textDirection w:val="lrTb"/>
            <w:noWrap w:val="false"/>
          </w:tcPr>
          <w:p>
            <w:pPr>
              <w:jc w:val="left"/>
              <w:spacing w:line="360" w:lineRule="auto"/>
              <w:rPr>
                <w:rFonts w:eastAsia="宋体" w:cs="宋体"/>
                <w:color w:val="auto"/>
                <w:sz w:val="24"/>
                <w:highlight w:val="none"/>
              </w:rPr>
            </w:pPr>
            <w:r>
              <w:rPr>
                <w:rFonts w:eastAsia="宋体" w:cs="宋体"/>
                <w:color w:val="auto"/>
                <w:sz w:val="24"/>
                <w:highlight w:val="none"/>
              </w:rPr>
            </w:r>
            <w:r/>
          </w:p>
        </w:tc>
      </w:tr>
    </w:tbl>
    <w:p>
      <w:pPr>
        <w:contextualSpacing/>
        <w:spacing w:line="360" w:lineRule="auto"/>
        <w:rPr>
          <w:rFonts w:eastAsia="宋体" w:cs="宋体"/>
          <w:color w:val="auto"/>
          <w:sz w:val="24"/>
          <w:highlight w:val="none"/>
        </w:rPr>
      </w:pPr>
      <w:r>
        <w:rPr>
          <w:rFonts w:hint="eastAsia" w:eastAsia="宋体" w:cs="宋体"/>
          <w:color w:val="auto"/>
          <w:sz w:val="24"/>
          <w:highlight w:val="none"/>
        </w:rPr>
        <w:t xml:space="preserve">注：</w:t>
      </w:r>
      <w:r/>
    </w:p>
    <w:p>
      <w:pPr>
        <w:contextualSpacing/>
        <w:ind w:firstLine="480"/>
        <w:spacing w:line="360" w:lineRule="auto"/>
        <w:rPr>
          <w:rFonts w:eastAsia="宋体" w:cs="宋体"/>
          <w:color w:val="auto"/>
          <w:sz w:val="24"/>
          <w:highlight w:val="none"/>
        </w:rPr>
      </w:pPr>
      <w:r>
        <w:rPr>
          <w:rFonts w:hint="eastAsia" w:eastAsia="宋体" w:cs="宋体"/>
          <w:color w:val="auto"/>
          <w:sz w:val="24"/>
          <w:highlight w:val="none"/>
        </w:rPr>
        <w:t xml:space="preserve">1.供应商提交的投标文件中与招标文件第三章“项目需求”中的商务部分的要求，应逐条填列在偏离表中。</w:t>
      </w:r>
      <w:r/>
    </w:p>
    <w:p>
      <w:pPr>
        <w:contextualSpacing/>
        <w:ind w:firstLine="480"/>
        <w:spacing w:line="360" w:lineRule="auto"/>
        <w:rPr>
          <w:rFonts w:eastAsia="宋体" w:cs="宋体"/>
          <w:color w:val="auto"/>
          <w:sz w:val="24"/>
          <w:highlight w:val="none"/>
        </w:rPr>
      </w:pPr>
      <w:r>
        <w:rPr>
          <w:rFonts w:hint="eastAsia" w:eastAsia="宋体" w:cs="宋体"/>
          <w:color w:val="auto"/>
          <w:sz w:val="24"/>
          <w:highlight w:val="none"/>
        </w:rPr>
        <w:t xml:space="preserve">2.“偏离说明”一栏选择“正偏离”、“负偏离”、“无偏离”进行填写。正偏离、负偏离、无偏离的确认，由评审小组认定。</w:t>
      </w:r>
      <w:r/>
    </w:p>
    <w:p>
      <w:pPr>
        <w:contextualSpacing/>
        <w:ind w:firstLine="480"/>
        <w:spacing w:line="360" w:lineRule="auto"/>
        <w:rPr>
          <w:rFonts w:eastAsia="宋体" w:cs="宋体"/>
          <w:color w:val="auto"/>
          <w:sz w:val="24"/>
          <w:highlight w:val="none"/>
        </w:rPr>
      </w:pPr>
      <w:r>
        <w:rPr>
          <w:rFonts w:hint="eastAsia" w:eastAsia="宋体" w:cs="宋体"/>
          <w:color w:val="auto"/>
          <w:sz w:val="24"/>
          <w:highlight w:val="none"/>
        </w:rPr>
        <w:t xml:space="preserve">3.本项目商务条款不接受负偏离，有负偏离的按无效标处理。供应商若提供其他增值服务，可以在表中自行据实填写。</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highlight w:val="none"/>
        </w:rPr>
        <w:t xml:space="preserve">4.若完全响应本项目需求且无偏离，投标时本表可空白盖章提供。</w:t>
      </w:r>
      <w:r/>
    </w:p>
    <w:p>
      <w:pPr>
        <w:jc w:val="center"/>
        <w:spacing w:line="360" w:lineRule="auto"/>
        <w:rPr>
          <w:rFonts w:eastAsia="宋体" w:cs="宋体"/>
          <w:color w:val="auto"/>
          <w:sz w:val="24"/>
          <w:highlight w:val="none"/>
        </w:rPr>
        <w:outlineLvl w:val="2"/>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rPr>
        <w:t xml:space="preserve">8、</w:t>
      </w:r>
      <w:r>
        <w:rPr>
          <w:rFonts w:hint="eastAsia" w:eastAsia="宋体" w:cs="宋体"/>
          <w:b/>
          <w:bCs/>
          <w:color w:val="auto"/>
          <w:sz w:val="24"/>
          <w:szCs w:val="24"/>
          <w:highlight w:val="none"/>
        </w:rPr>
        <w:t xml:space="preserve">技术部分正负偏离表</w:t>
      </w:r>
      <w:r/>
    </w:p>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（由供应商据实填写，表格不够自行添加）</w:t>
      </w:r>
      <w:r/>
    </w:p>
    <w:tbl>
      <w:tblPr>
        <w:tblStyle w:val="923"/>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0"/>
        <w:gridCol w:w="2179"/>
        <w:gridCol w:w="1906"/>
        <w:gridCol w:w="2449"/>
        <w:gridCol w:w="1365"/>
      </w:tblGrid>
      <w:tr>
        <w:trPr>
          <w:trHeight w:val="994"/>
        </w:trPr>
        <w:tc>
          <w:tcPr>
            <w:tcW w:w="852"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序号</w:t>
            </w:r>
            <w:r/>
          </w:p>
        </w:tc>
        <w:tc>
          <w:tcPr>
            <w:tcW w:w="2331"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货物或服务名称</w:t>
            </w:r>
            <w:r/>
          </w:p>
        </w:tc>
        <w:tc>
          <w:tcPr>
            <w:tcW w:w="2034"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招标文件要求的技术要求</w:t>
            </w:r>
            <w:r/>
          </w:p>
        </w:tc>
        <w:tc>
          <w:tcPr>
            <w:tcW w:w="2624" w:type="dxa"/>
            <w:vAlign w:val="center"/>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投标文件响应情况</w:t>
            </w:r>
            <w:r/>
          </w:p>
        </w:tc>
        <w:tc>
          <w:tcPr>
            <w:tcW w:w="1445" w:type="dxa"/>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偏离说明</w:t>
            </w:r>
            <w:r/>
          </w:p>
        </w:tc>
      </w:tr>
      <w:tr>
        <w:trPr>
          <w:trHeight w:val="414"/>
        </w:trPr>
        <w:tc>
          <w:tcPr>
            <w:tcW w:w="852" w:type="dxa"/>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w:t>
            </w:r>
            <w:r/>
          </w:p>
        </w:tc>
        <w:tc>
          <w:tcPr>
            <w:tcW w:w="2331"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034"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624"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r>
      <w:tr>
        <w:trPr>
          <w:trHeight w:val="548"/>
        </w:trPr>
        <w:tc>
          <w:tcPr>
            <w:tcW w:w="852" w:type="dxa"/>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w:t>
            </w:r>
            <w:r/>
          </w:p>
        </w:tc>
        <w:tc>
          <w:tcPr>
            <w:tcW w:w="2331"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034"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624"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r>
      <w:tr>
        <w:trPr>
          <w:trHeight w:val="400"/>
        </w:trPr>
        <w:tc>
          <w:tcPr>
            <w:tcW w:w="852" w:type="dxa"/>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w:t>
            </w:r>
            <w:r/>
          </w:p>
        </w:tc>
        <w:tc>
          <w:tcPr>
            <w:tcW w:w="2331"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034"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624"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r>
      <w:tr>
        <w:trPr>
          <w:trHeight w:val="419"/>
        </w:trPr>
        <w:tc>
          <w:tcPr>
            <w:tcW w:w="852" w:type="dxa"/>
            <w:textDirection w:val="lrTb"/>
            <w:noWrap w:val="false"/>
          </w:tcPr>
          <w:p>
            <w:pPr>
              <w:jc w:val="center"/>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w:t>
            </w:r>
            <w:r/>
          </w:p>
        </w:tc>
        <w:tc>
          <w:tcPr>
            <w:tcW w:w="2331"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034"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2624" w:type="dxa"/>
            <w:vAlign w:val="center"/>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c>
          <w:tcPr>
            <w:tcW w:w="1445" w:type="dxa"/>
            <w:textDirection w:val="lrTb"/>
            <w:noWrap w:val="false"/>
          </w:tcPr>
          <w:p>
            <w:pPr>
              <w:jc w:val="center"/>
              <w:spacing w:line="360" w:lineRule="auto"/>
              <w:rPr>
                <w:rFonts w:eastAsia="宋体" w:cs="宋体"/>
                <w:color w:val="auto"/>
                <w:sz w:val="24"/>
                <w:szCs w:val="24"/>
                <w:highlight w:val="none"/>
              </w:rPr>
            </w:pPr>
            <w:r>
              <w:rPr>
                <w:rFonts w:eastAsia="宋体" w:cs="宋体"/>
                <w:color w:val="auto"/>
                <w:sz w:val="24"/>
                <w:szCs w:val="24"/>
                <w:highlight w:val="none"/>
              </w:rPr>
            </w:r>
            <w:r/>
          </w:p>
        </w:tc>
      </w:tr>
    </w:tbl>
    <w:p>
      <w:pPr>
        <w:contextualSpacing/>
        <w:spacing w:line="360" w:lineRule="auto"/>
        <w:rPr>
          <w:rFonts w:eastAsia="宋体" w:cs="宋体"/>
          <w:color w:val="auto"/>
          <w:sz w:val="24"/>
          <w:highlight w:val="none"/>
        </w:rPr>
      </w:pPr>
      <w:r>
        <w:rPr>
          <w:rFonts w:hint="eastAsia" w:eastAsia="宋体" w:cs="宋体"/>
          <w:color w:val="auto"/>
          <w:sz w:val="24"/>
          <w:highlight w:val="none"/>
        </w:rPr>
        <w:t xml:space="preserve">注：</w:t>
      </w:r>
      <w:r/>
    </w:p>
    <w:p>
      <w:pPr>
        <w:contextualSpacing/>
        <w:ind w:firstLine="480"/>
        <w:spacing w:line="360" w:lineRule="auto"/>
        <w:rPr>
          <w:rFonts w:eastAsia="宋体" w:cs="宋体"/>
          <w:color w:val="auto"/>
          <w:sz w:val="24"/>
          <w:highlight w:val="none"/>
        </w:rPr>
      </w:pPr>
      <w:r>
        <w:rPr>
          <w:rFonts w:hint="eastAsia" w:eastAsia="宋体" w:cs="宋体"/>
          <w:color w:val="auto"/>
          <w:sz w:val="24"/>
          <w:highlight w:val="none"/>
        </w:rPr>
        <w:t xml:space="preserve">1.供应商提交的投标文件中与招标文件第三章“项目需求”中的技术部分的要求，应逐条填列在偏离表中。</w:t>
      </w:r>
      <w:r/>
    </w:p>
    <w:p>
      <w:pPr>
        <w:contextualSpacing/>
        <w:ind w:firstLine="480"/>
        <w:spacing w:line="360" w:lineRule="auto"/>
        <w:rPr>
          <w:rFonts w:eastAsia="宋体" w:cs="宋体"/>
          <w:color w:val="auto"/>
          <w:sz w:val="24"/>
          <w:highlight w:val="none"/>
        </w:rPr>
      </w:pPr>
      <w:r>
        <w:rPr>
          <w:rFonts w:hint="eastAsia" w:eastAsia="宋体" w:cs="宋体"/>
          <w:color w:val="auto"/>
          <w:sz w:val="24"/>
          <w:highlight w:val="none"/>
        </w:rPr>
        <w:t xml:space="preserve">2.“偏离说明”一栏选择“正偏离”、“负偏离”、“无偏离”进行填写。正偏离、负偏离、无偏离的确认，由评审小组认定。</w:t>
      </w:r>
      <w:r/>
    </w:p>
    <w:p>
      <w:pPr>
        <w:contextualSpacing/>
        <w:ind w:firstLine="480"/>
        <w:spacing w:line="360" w:lineRule="auto"/>
        <w:rPr>
          <w:rFonts w:eastAsia="宋体" w:cs="宋体"/>
          <w:color w:val="auto"/>
          <w:sz w:val="24"/>
          <w:highlight w:val="none"/>
        </w:rPr>
      </w:pPr>
      <w:r>
        <w:rPr>
          <w:rFonts w:hint="eastAsia" w:eastAsia="宋体" w:cs="宋体"/>
          <w:color w:val="auto"/>
          <w:sz w:val="24"/>
          <w:highlight w:val="none"/>
        </w:rPr>
        <w:t xml:space="preserve">3.供应商若提供其他增值服务，可以在表中自行据实填写。</w:t>
      </w:r>
      <w:r/>
    </w:p>
    <w:p>
      <w:pPr>
        <w:contextualSpacing/>
        <w:ind w:firstLine="480"/>
        <w:spacing w:line="360" w:lineRule="auto"/>
        <w:rPr>
          <w:rFonts w:eastAsia="宋体" w:cs="宋体"/>
          <w:color w:val="auto"/>
          <w:sz w:val="24"/>
          <w:highlight w:val="none"/>
        </w:rPr>
      </w:pPr>
      <w:r>
        <w:rPr>
          <w:rFonts w:hint="eastAsia" w:eastAsia="宋体" w:cs="宋体"/>
          <w:color w:val="auto"/>
          <w:sz w:val="24"/>
          <w:highlight w:val="none"/>
        </w:rPr>
        <w:t xml:space="preserve">4.若完全响应本项目需求且无偏离，投标时本表可空白盖章提供。</w:t>
      </w:r>
      <w:r/>
    </w:p>
    <w:p>
      <w:pPr>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jc w:val="center"/>
        <w:spacing w:line="360" w:lineRule="auto"/>
        <w:rPr>
          <w:rFonts w:eastAsia="宋体" w:cs="宋体"/>
          <w:b/>
          <w:bCs/>
          <w:color w:val="auto"/>
          <w:sz w:val="24"/>
          <w:szCs w:val="21"/>
          <w:highlight w:val="none"/>
        </w:rPr>
        <w:outlineLvl w:val="2"/>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rPr>
        <w:t xml:space="preserve">9、投标报价表</w:t>
      </w:r>
      <w:r/>
    </w:p>
    <w:tbl>
      <w:tblPr>
        <w:tblStyle w:val="923"/>
        <w:tblW w:w="50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1"/>
        <w:gridCol w:w="6375"/>
      </w:tblGrid>
      <w:tr>
        <w:trPr>
          <w:trHeight w:val="684"/>
        </w:trPr>
        <w:tc>
          <w:tcPr>
            <w:tcW w:w="2665" w:type="dxa"/>
            <w:vAlign w:val="center"/>
            <w:textDirection w:val="lrTb"/>
            <w:noWrap w:val="false"/>
          </w:tcPr>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项目名称</w:t>
            </w:r>
            <w:r/>
          </w:p>
        </w:tc>
        <w:tc>
          <w:tcPr>
            <w:tcW w:w="6799" w:type="dxa"/>
            <w:vAlign w:val="center"/>
            <w:textDirection w:val="lrTb"/>
            <w:noWrap w:val="false"/>
          </w:tcPr>
          <w:p>
            <w:pPr>
              <w:spacing w:line="360" w:lineRule="auto"/>
              <w:rPr>
                <w:rFonts w:eastAsia="宋体" w:cs="宋体"/>
                <w:color w:val="auto"/>
                <w:sz w:val="24"/>
                <w:szCs w:val="21"/>
                <w:highlight w:val="none"/>
              </w:rPr>
            </w:pPr>
            <w:r>
              <w:rPr>
                <w:rFonts w:eastAsia="宋体" w:cs="宋体"/>
                <w:color w:val="auto"/>
                <w:sz w:val="24"/>
                <w:szCs w:val="21"/>
                <w:highlight w:val="none"/>
              </w:rPr>
            </w:r>
            <w:r/>
          </w:p>
        </w:tc>
      </w:tr>
      <w:tr>
        <w:trPr>
          <w:trHeight w:val="684"/>
        </w:trPr>
        <w:tc>
          <w:tcPr>
            <w:tcW w:w="2665" w:type="dxa"/>
            <w:vAlign w:val="center"/>
            <w:textDirection w:val="lrTb"/>
            <w:noWrap w:val="false"/>
          </w:tcPr>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项目编号</w:t>
            </w:r>
            <w:r/>
          </w:p>
        </w:tc>
        <w:tc>
          <w:tcPr>
            <w:tcW w:w="6799" w:type="dxa"/>
            <w:vAlign w:val="center"/>
            <w:textDirection w:val="lrTb"/>
            <w:noWrap w:val="false"/>
          </w:tcPr>
          <w:p>
            <w:pPr>
              <w:spacing w:line="360" w:lineRule="auto"/>
              <w:rPr>
                <w:rFonts w:eastAsia="宋体" w:cs="宋体"/>
                <w:color w:val="auto"/>
                <w:sz w:val="24"/>
                <w:szCs w:val="21"/>
                <w:highlight w:val="none"/>
              </w:rPr>
            </w:pPr>
            <w:r>
              <w:rPr>
                <w:rFonts w:eastAsia="宋体" w:cs="宋体"/>
                <w:color w:val="auto"/>
                <w:sz w:val="24"/>
                <w:szCs w:val="21"/>
                <w:highlight w:val="none"/>
              </w:rPr>
            </w:r>
            <w:r/>
          </w:p>
        </w:tc>
      </w:tr>
      <w:tr>
        <w:trPr>
          <w:trHeight w:val="1427"/>
        </w:trPr>
        <w:tc>
          <w:tcPr>
            <w:tcW w:w="2665" w:type="dxa"/>
            <w:vAlign w:val="center"/>
            <w:textDirection w:val="lrTb"/>
            <w:noWrap w:val="false"/>
          </w:tcPr>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投标报价</w:t>
            </w:r>
            <w:r/>
          </w:p>
        </w:tc>
        <w:tc>
          <w:tcPr>
            <w:tcW w:w="6799" w:type="dxa"/>
            <w:vAlign w:val="center"/>
            <w:textDirection w:val="lrTb"/>
            <w:noWrap w:val="false"/>
          </w:tcPr>
          <w:p>
            <w:pPr>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大写</w:t>
            </w:r>
            <w:r>
              <w:rPr>
                <w:rFonts w:hint="eastAsia" w:eastAsia="宋体" w:cs="宋体"/>
                <w:bCs/>
                <w:color w:val="auto"/>
                <w:sz w:val="24"/>
                <w:szCs w:val="24"/>
                <w:highlight w:val="none"/>
                <w:u w:val="single"/>
              </w:rPr>
              <w:t xml:space="preserve">：                    元</w:t>
            </w:r>
            <w:r>
              <w:rPr>
                <w:rFonts w:hint="eastAsia" w:eastAsia="宋体" w:cs="宋体"/>
                <w:bCs/>
                <w:color w:val="auto"/>
                <w:sz w:val="24"/>
                <w:szCs w:val="24"/>
                <w:highlight w:val="none"/>
              </w:rPr>
              <w:t xml:space="preserve">；</w:t>
            </w:r>
            <w:r/>
          </w:p>
          <w:p>
            <w:pPr>
              <w:spacing w:line="360" w:lineRule="auto"/>
              <w:rPr>
                <w:rFonts w:eastAsia="宋体" w:cs="宋体"/>
                <w:color w:val="auto"/>
                <w:highlight w:val="none"/>
              </w:rPr>
            </w:pPr>
            <w:r>
              <w:rPr>
                <w:rFonts w:hint="eastAsia" w:eastAsia="宋体" w:cs="宋体"/>
                <w:bCs/>
                <w:color w:val="auto"/>
                <w:sz w:val="24"/>
                <w:szCs w:val="24"/>
                <w:highlight w:val="none"/>
              </w:rPr>
              <w:t xml:space="preserve">小写</w:t>
            </w:r>
            <w:r>
              <w:rPr>
                <w:rFonts w:hint="eastAsia" w:eastAsia="宋体" w:cs="宋体"/>
                <w:bCs/>
                <w:color w:val="auto"/>
                <w:sz w:val="24"/>
                <w:szCs w:val="24"/>
                <w:highlight w:val="none"/>
                <w:u w:val="single"/>
              </w:rPr>
              <w:t xml:space="preserve">：                     元</w:t>
            </w:r>
            <w:r>
              <w:rPr>
                <w:rFonts w:hint="eastAsia" w:eastAsia="宋体" w:cs="宋体"/>
                <w:bCs/>
                <w:color w:val="auto"/>
                <w:sz w:val="24"/>
                <w:szCs w:val="24"/>
                <w:highlight w:val="none"/>
              </w:rPr>
              <w:t xml:space="preserve">。</w:t>
            </w:r>
            <w:r/>
          </w:p>
        </w:tc>
      </w:tr>
    </w:tbl>
    <w:p>
      <w:pPr>
        <w:pStyle w:val="1033"/>
        <w:spacing w:line="360" w:lineRule="auto"/>
        <w:rPr>
          <w:rFonts w:ascii="Times New Roman" w:eastAsia="宋体" w:cs="宋体"/>
          <w:color w:val="auto"/>
          <w:highlight w:val="none"/>
        </w:rPr>
      </w:pPr>
      <w:r>
        <w:rPr>
          <w:rFonts w:ascii="Times New Roman" w:eastAsia="宋体" w:cs="宋体"/>
          <w:color w:val="auto"/>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投标供应商：（盖章）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法定代表人或被授权人（签字或盖章）：</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日期：</w:t>
      </w:r>
      <w:r/>
    </w:p>
    <w:p>
      <w:pPr>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ind w:firstLine="496"/>
        <w:spacing w:line="360" w:lineRule="auto"/>
        <w:rPr>
          <w:rFonts w:eastAsia="宋体" w:cs="宋体"/>
          <w:bCs/>
          <w:color w:val="auto"/>
          <w:sz w:val="24"/>
          <w:szCs w:val="21"/>
          <w:highlight w:val="none"/>
        </w:rPr>
      </w:pPr>
      <w:r>
        <w:rPr>
          <w:rFonts w:hint="eastAsia" w:eastAsia="宋体" w:cs="宋体"/>
          <w:b/>
          <w:bCs/>
          <w:color w:val="auto"/>
          <w:sz w:val="24"/>
          <w:szCs w:val="21"/>
          <w:highlight w:val="none"/>
        </w:rPr>
        <w:t xml:space="preserve">注：</w:t>
      </w:r>
      <w:r>
        <w:rPr>
          <w:rFonts w:hint="eastAsia" w:eastAsia="宋体" w:cs="宋体"/>
          <w:bCs/>
          <w:color w:val="auto"/>
          <w:sz w:val="24"/>
          <w:szCs w:val="21"/>
          <w:highlight w:val="none"/>
        </w:rPr>
        <w:t xml:space="preserve"> </w:t>
      </w:r>
      <w:r/>
    </w:p>
    <w:p>
      <w:pPr>
        <w:ind w:firstLine="465"/>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本项目投标报价采用总承包方式，投标人的投标报价应包括采购人需求的服务（包含与服务相关的产品）价格、质量保证费用、培训费用及售后服务费用，项目在指定地点、环境交付、安装、调试、验收所需费用和所有相关税金费用及为完成整个项目所产生的其他所有费用。同时，报价也应包含合同履行过程中可能发生的一切风险</w:t>
      </w:r>
      <w:r>
        <w:rPr>
          <w:rFonts w:hint="eastAsia" w:eastAsia="宋体" w:cs="宋体"/>
          <w:bCs/>
          <w:color w:val="auto"/>
          <w:sz w:val="24"/>
          <w:szCs w:val="24"/>
          <w:highlight w:val="none"/>
        </w:rPr>
        <w:t xml:space="preserve">。</w:t>
      </w:r>
      <w:r/>
    </w:p>
    <w:p>
      <w:pPr>
        <w:ind w:firstLine="465"/>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highlight w:val="none"/>
        </w:rPr>
      </w:pPr>
      <w:r>
        <w:rPr>
          <w:rFonts w:eastAsia="宋体" w:cs="宋体"/>
          <w:color w:val="auto"/>
          <w:highlight w:val="none"/>
        </w:rPr>
      </w:r>
      <w:r/>
    </w:p>
    <w:p>
      <w:pPr>
        <w:jc w:val="center"/>
        <w:spacing w:line="360" w:lineRule="auto"/>
        <w:rPr>
          <w:rFonts w:eastAsia="宋体" w:cs="宋体"/>
          <w:b/>
          <w:bCs/>
          <w:color w:val="auto"/>
          <w:sz w:val="24"/>
          <w:szCs w:val="21"/>
          <w:highlight w:val="none"/>
        </w:rPr>
        <w:outlineLvl w:val="2"/>
      </w:pPr>
      <w:r>
        <w:rPr>
          <w:rFonts w:hint="eastAsia" w:eastAsia="宋体" w:cs="宋体"/>
          <w:color w:val="auto"/>
          <w:highlight w:val="none"/>
        </w:rPr>
        <w:br w:type="page" w:clear="all"/>
      </w:r>
      <w:r>
        <w:rPr>
          <w:rFonts w:hint="eastAsia" w:eastAsia="宋体" w:cs="宋体"/>
          <w:b/>
          <w:bCs/>
          <w:color w:val="auto"/>
          <w:sz w:val="24"/>
          <w:szCs w:val="21"/>
          <w:highlight w:val="none"/>
        </w:rPr>
        <w:t xml:space="preserve">10、投标报价明细表</w:t>
      </w:r>
      <w:r/>
    </w:p>
    <w:p>
      <w:pPr>
        <w:pStyle w:val="1074"/>
        <w:rPr>
          <w:rFonts w:eastAsia="宋体" w:cs="宋体"/>
          <w:color w:val="auto"/>
          <w:highlight w:val="none"/>
        </w:rPr>
      </w:pPr>
      <w:r>
        <w:rPr>
          <w:rFonts w:eastAsia="宋体" w:cs="宋体"/>
          <w:color w:val="auto"/>
          <w:highlight w:val="none"/>
        </w:rPr>
      </w:r>
      <w:r/>
    </w:p>
    <w:p>
      <w:pPr>
        <w:pStyle w:val="1074"/>
        <w:rPr>
          <w:rFonts w:eastAsia="宋体" w:cs="宋体"/>
          <w:color w:val="auto"/>
          <w:highlight w:val="none"/>
        </w:rPr>
      </w:pPr>
      <w:r>
        <w:rPr>
          <w:rFonts w:eastAsia="宋体" w:cs="宋体"/>
          <w:color w:val="auto"/>
          <w:highlight w:val="none"/>
        </w:rPr>
      </w:r>
      <w:r/>
    </w:p>
    <w:p>
      <w:pPr>
        <w:pStyle w:val="1074"/>
        <w:jc w:val="center"/>
        <w:rPr>
          <w:rFonts w:eastAsia="宋体" w:cs="宋体"/>
          <w:b/>
          <w:bCs/>
          <w:color w:val="auto"/>
          <w:highlight w:val="none"/>
        </w:rPr>
      </w:pPr>
      <w:r>
        <w:rPr>
          <w:rFonts w:hint="eastAsia" w:eastAsia="宋体" w:cs="宋体"/>
          <w:b/>
          <w:bCs/>
          <w:color w:val="auto"/>
          <w:highlight w:val="none"/>
        </w:rPr>
        <w:t xml:space="preserve">（格式自拟）</w:t>
      </w:r>
      <w:r/>
    </w:p>
    <w:p>
      <w:pPr>
        <w:spacing w:line="360" w:lineRule="auto"/>
        <w:rPr>
          <w:rFonts w:eastAsia="宋体" w:cs="宋体"/>
          <w:bCs/>
          <w:color w:val="auto"/>
          <w:sz w:val="24"/>
          <w:szCs w:val="24"/>
          <w:highlight w:val="none"/>
        </w:rPr>
      </w:pPr>
      <w:r>
        <w:rPr>
          <w:rFonts w:eastAsia="宋体" w:cs="宋体"/>
          <w:bCs/>
          <w:color w:val="auto"/>
          <w:sz w:val="24"/>
          <w:szCs w:val="24"/>
          <w:highlight w:val="none"/>
        </w:rPr>
      </w:r>
      <w:r/>
    </w:p>
    <w:p>
      <w:pPr>
        <w:spacing w:line="360" w:lineRule="auto"/>
        <w:rPr>
          <w:rFonts w:eastAsia="宋体" w:cs="宋体"/>
          <w:bCs/>
          <w:color w:val="auto"/>
          <w:sz w:val="24"/>
          <w:szCs w:val="24"/>
          <w:highlight w:val="none"/>
        </w:rPr>
      </w:pPr>
      <w:r>
        <w:rPr>
          <w:rFonts w:eastAsia="宋体" w:cs="宋体"/>
          <w:bCs/>
          <w:color w:val="auto"/>
          <w:sz w:val="24"/>
          <w:szCs w:val="24"/>
          <w:highlight w:val="none"/>
        </w:rPr>
      </w:r>
      <w:r/>
    </w:p>
    <w:p>
      <w:pPr>
        <w:ind w:firstLine="480"/>
        <w:spacing w:line="360" w:lineRule="auto"/>
        <w:rPr>
          <w:rFonts w:eastAsia="宋体" w:cs="宋体"/>
          <w:bCs/>
          <w:color w:val="auto"/>
          <w:sz w:val="24"/>
          <w:szCs w:val="24"/>
          <w:highlight w:val="none"/>
        </w:rPr>
      </w:pPr>
      <w:r>
        <w:rPr>
          <w:rFonts w:eastAsia="宋体" w:cs="宋体"/>
          <w:bCs/>
          <w:color w:val="auto"/>
          <w:sz w:val="24"/>
          <w:szCs w:val="24"/>
          <w:highlight w:val="none"/>
        </w:rPr>
      </w:r>
      <w:r/>
    </w:p>
    <w:p>
      <w:pPr>
        <w:spacing w:line="360" w:lineRule="auto"/>
        <w:rPr>
          <w:rFonts w:eastAsia="宋体" w:cs="宋体"/>
          <w:bCs/>
          <w:color w:val="auto"/>
          <w:sz w:val="24"/>
          <w:szCs w:val="24"/>
          <w:highlight w:val="none"/>
        </w:rPr>
      </w:pPr>
      <w:r>
        <w:rPr>
          <w:rFonts w:eastAsia="宋体" w:cs="宋体"/>
          <w:bCs/>
          <w:color w:val="auto"/>
          <w:sz w:val="24"/>
          <w:szCs w:val="24"/>
          <w:highlight w:val="none"/>
        </w:rPr>
      </w:r>
      <w:r/>
    </w:p>
    <w:p>
      <w:pPr>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供应商（盖章）：</w:t>
      </w:r>
      <w:r/>
    </w:p>
    <w:p>
      <w:pPr>
        <w:spacing w:line="360" w:lineRule="auto"/>
        <w:rPr>
          <w:rFonts w:eastAsia="宋体" w:cs="宋体"/>
          <w:bCs/>
          <w:color w:val="auto"/>
          <w:sz w:val="24"/>
          <w:szCs w:val="24"/>
          <w:highlight w:val="none"/>
        </w:rPr>
      </w:pPr>
      <w:r>
        <w:rPr>
          <w:rFonts w:hint="eastAsia" w:eastAsia="宋体" w:cs="宋体"/>
          <w:color w:val="auto"/>
          <w:sz w:val="24"/>
          <w:szCs w:val="21"/>
          <w:highlight w:val="none"/>
        </w:rPr>
        <w:t xml:space="preserve">法定代表人或被授权人（签字或盖章）</w:t>
      </w:r>
      <w:r>
        <w:rPr>
          <w:rFonts w:hint="eastAsia" w:eastAsia="宋体" w:cs="宋体"/>
          <w:bCs/>
          <w:color w:val="auto"/>
          <w:sz w:val="24"/>
          <w:szCs w:val="24"/>
          <w:highlight w:val="none"/>
        </w:rPr>
        <w:t xml:space="preserve">：</w:t>
      </w:r>
      <w:r/>
    </w:p>
    <w:p>
      <w:pPr>
        <w:spacing w:line="360" w:lineRule="auto"/>
        <w:rPr>
          <w:rFonts w:eastAsia="宋体" w:cs="宋体"/>
          <w:b/>
          <w:color w:val="auto"/>
          <w:sz w:val="21"/>
          <w:szCs w:val="22"/>
          <w:highlight w:val="none"/>
        </w:rPr>
      </w:pPr>
      <w:r>
        <w:rPr>
          <w:rFonts w:hint="eastAsia" w:eastAsia="宋体" w:cs="宋体"/>
          <w:bCs/>
          <w:color w:val="auto"/>
          <w:sz w:val="24"/>
          <w:szCs w:val="24"/>
          <w:highlight w:val="none"/>
        </w:rPr>
        <w:t xml:space="preserve">日期：</w:t>
      </w:r>
      <w:r>
        <w:rPr>
          <w:rFonts w:hint="eastAsia" w:eastAsia="宋体" w:cs="宋体"/>
          <w:b/>
          <w:color w:val="auto"/>
          <w:sz w:val="21"/>
          <w:szCs w:val="22"/>
          <w:highlight w:val="none"/>
        </w:rPr>
        <w:t xml:space="preserve"> </w:t>
      </w:r>
      <w:r/>
    </w:p>
    <w:p>
      <w:pPr>
        <w:numPr>
          <w:ilvl w:val="0"/>
          <w:numId w:val="3"/>
        </w:numPr>
        <w:jc w:val="center"/>
        <w:spacing w:line="360" w:lineRule="auto"/>
        <w:rPr>
          <w:rFonts w:eastAsia="宋体" w:cs="宋体"/>
          <w:b/>
          <w:color w:val="auto"/>
          <w:sz w:val="24"/>
          <w:szCs w:val="24"/>
          <w:highlight w:val="none"/>
        </w:rPr>
        <w:outlineLvl w:val="2"/>
      </w:pPr>
      <w:r>
        <w:rPr>
          <w:rFonts w:hint="eastAsia" w:eastAsia="宋体" w:cs="宋体"/>
          <w:b/>
          <w:color w:val="auto"/>
          <w:sz w:val="21"/>
          <w:szCs w:val="22"/>
          <w:highlight w:val="none"/>
        </w:rPr>
        <w:br w:type="page" w:clear="all"/>
      </w:r>
      <w:r>
        <w:rPr>
          <w:rFonts w:hint="eastAsia" w:eastAsia="宋体" w:cs="宋体"/>
          <w:b/>
          <w:color w:val="auto"/>
          <w:sz w:val="24"/>
          <w:szCs w:val="24"/>
          <w:highlight w:val="none"/>
        </w:rPr>
        <w:t xml:space="preserve">中小企业声明函（服务）</w:t>
      </w:r>
      <w:r/>
    </w:p>
    <w:p>
      <w:pPr>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                              （如是，则提供）</w:t>
      </w:r>
      <w:r/>
    </w:p>
    <w:p>
      <w:pPr>
        <w:ind w:firstLine="480"/>
        <w:spacing w:line="360" w:lineRule="auto"/>
        <w:rPr>
          <w:rFonts w:eastAsia="宋体" w:cs="宋体"/>
          <w:color w:val="auto"/>
          <w:sz w:val="24"/>
          <w:szCs w:val="28"/>
          <w:highlight w:val="none"/>
        </w:rPr>
      </w:pPr>
      <w:r>
        <w:rPr>
          <w:rFonts w:hint="eastAsia" w:eastAsia="宋体" w:cs="宋体"/>
          <w:color w:val="auto"/>
          <w:sz w:val="24"/>
          <w:szCs w:val="28"/>
          <w:highlight w:val="none"/>
          <w:lang w:bidi="zh-CN"/>
        </w:rPr>
        <w:t xml:space="preserve">本公司（联合体）郑重声明，根据《政府采购促进中小企业发展管理办法》（财库﹝2020﹞46 号）的规定，本公司（联合体）参加</w:t>
      </w:r>
      <w:r>
        <w:rPr>
          <w:rFonts w:hint="eastAsia" w:eastAsia="宋体" w:cs="宋体"/>
          <w:color w:val="auto"/>
          <w:sz w:val="24"/>
          <w:szCs w:val="28"/>
          <w:highlight w:val="none"/>
          <w:u w:val="single"/>
          <w:lang w:bidi="zh-CN"/>
        </w:rPr>
        <w:t xml:space="preserve">（单位名称）</w:t>
      </w:r>
      <w:r>
        <w:rPr>
          <w:rFonts w:hint="eastAsia" w:eastAsia="宋体" w:cs="宋体"/>
          <w:color w:val="auto"/>
          <w:sz w:val="24"/>
          <w:szCs w:val="28"/>
          <w:highlight w:val="none"/>
          <w:lang w:bidi="zh-CN"/>
        </w:rPr>
        <w:t xml:space="preserve">的</w:t>
      </w:r>
      <w:r>
        <w:rPr>
          <w:rFonts w:hint="eastAsia" w:eastAsia="宋体" w:cs="宋体"/>
          <w:color w:val="auto"/>
          <w:sz w:val="24"/>
          <w:szCs w:val="28"/>
          <w:highlight w:val="none"/>
          <w:u w:val="single"/>
          <w:lang w:bidi="zh-CN"/>
        </w:rPr>
        <w:t xml:space="preserve">（项目名称）</w:t>
      </w:r>
      <w:r>
        <w:rPr>
          <w:rFonts w:hint="eastAsia" w:eastAsia="宋体" w:cs="宋体"/>
          <w:color w:val="auto"/>
          <w:sz w:val="24"/>
          <w:szCs w:val="28"/>
          <w:highlight w:val="none"/>
          <w:lang w:bidi="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eastAsia="宋体" w:cs="宋体"/>
          <w:color w:val="auto"/>
          <w:sz w:val="24"/>
          <w:szCs w:val="28"/>
          <w:highlight w:val="none"/>
        </w:rPr>
      </w:pPr>
      <w:r>
        <w:rPr>
          <w:rFonts w:hint="eastAsia" w:eastAsia="宋体" w:cs="宋体"/>
          <w:color w:val="auto"/>
          <w:sz w:val="24"/>
          <w:szCs w:val="28"/>
          <w:highlight w:val="none"/>
          <w:lang w:bidi="zh-CN"/>
        </w:rPr>
        <w:t xml:space="preserve">1.</w:t>
      </w:r>
      <w:r>
        <w:rPr>
          <w:rFonts w:hint="eastAsia" w:eastAsia="宋体" w:cs="宋体"/>
          <w:color w:val="auto"/>
          <w:sz w:val="24"/>
          <w:szCs w:val="28"/>
          <w:highlight w:val="none"/>
          <w:u w:val="single"/>
          <w:lang w:bidi="zh-CN"/>
        </w:rPr>
        <w:t xml:space="preserve">（标的名称）</w:t>
      </w:r>
      <w:r>
        <w:rPr>
          <w:rFonts w:hint="eastAsia" w:eastAsia="宋体" w:cs="宋体"/>
          <w:color w:val="auto"/>
          <w:sz w:val="24"/>
          <w:szCs w:val="28"/>
          <w:highlight w:val="none"/>
          <w:lang w:bidi="zh-CN"/>
        </w:rPr>
        <w:t xml:space="preserve">，属于（</w:t>
      </w:r>
      <w:r>
        <w:rPr>
          <w:rFonts w:hint="eastAsia" w:eastAsia="宋体" w:cs="宋体"/>
          <w:color w:val="auto"/>
          <w:sz w:val="24"/>
          <w:szCs w:val="28"/>
          <w:highlight w:val="none"/>
          <w:u w:val="single"/>
          <w:lang w:bidi="zh-CN"/>
        </w:rPr>
        <w:t xml:space="preserve">采购文件中明确的所属行业）</w:t>
      </w:r>
      <w:r>
        <w:rPr>
          <w:rFonts w:hint="eastAsia" w:eastAsia="宋体" w:cs="宋体"/>
          <w:color w:val="auto"/>
          <w:sz w:val="24"/>
          <w:szCs w:val="28"/>
          <w:highlight w:val="none"/>
          <w:lang w:bidi="zh-CN"/>
        </w:rPr>
        <w:t xml:space="preserve">；承建（承接）企业为</w:t>
      </w:r>
      <w:r>
        <w:rPr>
          <w:rFonts w:hint="eastAsia" w:eastAsia="宋体" w:cs="宋体"/>
          <w:color w:val="auto"/>
          <w:sz w:val="24"/>
          <w:szCs w:val="28"/>
          <w:highlight w:val="none"/>
          <w:u w:val="single"/>
          <w:lang w:bidi="zh-CN"/>
        </w:rPr>
        <w:t xml:space="preserve">（企业名称）</w:t>
      </w:r>
      <w:r>
        <w:rPr>
          <w:rFonts w:hint="eastAsia" w:eastAsia="宋体" w:cs="宋体"/>
          <w:color w:val="auto"/>
          <w:sz w:val="24"/>
          <w:szCs w:val="28"/>
          <w:highlight w:val="none"/>
          <w:lang w:bidi="zh-CN"/>
        </w:rPr>
        <w:t xml:space="preserve">，从业人员</w:t>
      </w:r>
      <w:r>
        <w:rPr>
          <w:rFonts w:hint="eastAsia" w:eastAsia="宋体" w:cs="宋体"/>
          <w:color w:val="auto"/>
          <w:sz w:val="24"/>
          <w:szCs w:val="28"/>
          <w:highlight w:val="none"/>
          <w:u w:val="single"/>
          <w:lang w:bidi="zh-CN"/>
        </w:rPr>
        <w:tab/>
      </w:r>
      <w:r>
        <w:rPr>
          <w:rFonts w:hint="eastAsia" w:eastAsia="宋体" w:cs="宋体"/>
          <w:color w:val="auto"/>
          <w:sz w:val="24"/>
          <w:szCs w:val="28"/>
          <w:highlight w:val="none"/>
          <w:lang w:bidi="zh-CN"/>
        </w:rPr>
        <w:t xml:space="preserve">人，营业收入为</w:t>
      </w:r>
      <w:r>
        <w:rPr>
          <w:rFonts w:hint="eastAsia" w:eastAsia="宋体" w:cs="宋体"/>
          <w:color w:val="auto"/>
          <w:sz w:val="24"/>
          <w:szCs w:val="28"/>
          <w:highlight w:val="none"/>
          <w:u w:val="single"/>
          <w:lang w:bidi="zh-CN"/>
        </w:rPr>
        <w:tab/>
      </w:r>
      <w:r>
        <w:rPr>
          <w:rFonts w:hint="eastAsia" w:eastAsia="宋体" w:cs="宋体"/>
          <w:color w:val="auto"/>
          <w:sz w:val="24"/>
          <w:szCs w:val="28"/>
          <w:highlight w:val="none"/>
          <w:lang w:bidi="zh-CN"/>
        </w:rPr>
        <w:t xml:space="preserve">万元，资产总额为</w:t>
      </w:r>
      <w:r>
        <w:rPr>
          <w:rFonts w:hint="eastAsia" w:eastAsia="宋体" w:cs="宋体"/>
          <w:color w:val="auto"/>
          <w:sz w:val="24"/>
          <w:szCs w:val="28"/>
          <w:highlight w:val="none"/>
          <w:u w:val="single"/>
          <w:lang w:bidi="zh-CN"/>
        </w:rPr>
        <w:tab/>
      </w:r>
      <w:r>
        <w:rPr>
          <w:rFonts w:hint="eastAsia" w:eastAsia="宋体" w:cs="宋体"/>
          <w:color w:val="auto"/>
          <w:sz w:val="24"/>
          <w:szCs w:val="28"/>
          <w:highlight w:val="none"/>
          <w:lang w:bidi="zh-CN"/>
        </w:rPr>
        <w:t xml:space="preserve">万元，属于</w:t>
      </w:r>
      <w:r>
        <w:rPr>
          <w:rFonts w:hint="eastAsia" w:eastAsia="宋体" w:cs="宋体"/>
          <w:color w:val="auto"/>
          <w:sz w:val="24"/>
          <w:szCs w:val="28"/>
          <w:highlight w:val="none"/>
          <w:u w:val="single"/>
          <w:lang w:bidi="zh-CN"/>
        </w:rPr>
        <w:t xml:space="preserve">（中型企业、小型企业、微型企业）</w:t>
      </w:r>
      <w:r>
        <w:rPr>
          <w:rFonts w:hint="eastAsia" w:eastAsia="宋体" w:cs="宋体"/>
          <w:color w:val="auto"/>
          <w:sz w:val="24"/>
          <w:szCs w:val="28"/>
          <w:highlight w:val="none"/>
          <w:lang w:bidi="zh-CN"/>
        </w:rPr>
        <w:t xml:space="preserve">；</w:t>
      </w:r>
      <w:r/>
    </w:p>
    <w:p>
      <w:pPr>
        <w:ind w:firstLine="480"/>
        <w:spacing w:line="360" w:lineRule="auto"/>
        <w:rPr>
          <w:rFonts w:eastAsia="宋体" w:cs="宋体"/>
          <w:color w:val="auto"/>
          <w:sz w:val="24"/>
          <w:szCs w:val="28"/>
          <w:highlight w:val="none"/>
        </w:rPr>
      </w:pPr>
      <w:r>
        <w:rPr>
          <w:rFonts w:hint="eastAsia" w:eastAsia="宋体" w:cs="宋体"/>
          <w:color w:val="auto"/>
          <w:sz w:val="24"/>
          <w:szCs w:val="28"/>
          <w:highlight w:val="none"/>
          <w:lang w:bidi="zh-CN"/>
        </w:rPr>
        <w:t xml:space="preserve">2.</w:t>
      </w:r>
      <w:r>
        <w:rPr>
          <w:rFonts w:hint="eastAsia" w:eastAsia="宋体" w:cs="宋体"/>
          <w:color w:val="auto"/>
          <w:sz w:val="24"/>
          <w:szCs w:val="28"/>
          <w:highlight w:val="none"/>
          <w:u w:val="single"/>
          <w:lang w:bidi="zh-CN"/>
        </w:rPr>
        <w:t xml:space="preserve">（标的名称）</w:t>
      </w:r>
      <w:r>
        <w:rPr>
          <w:rFonts w:hint="eastAsia" w:eastAsia="宋体" w:cs="宋体"/>
          <w:color w:val="auto"/>
          <w:sz w:val="24"/>
          <w:szCs w:val="28"/>
          <w:highlight w:val="none"/>
          <w:lang w:bidi="zh-CN"/>
        </w:rPr>
        <w:t xml:space="preserve">，属于（</w:t>
      </w:r>
      <w:r>
        <w:rPr>
          <w:rFonts w:hint="eastAsia" w:eastAsia="宋体" w:cs="宋体"/>
          <w:color w:val="auto"/>
          <w:sz w:val="24"/>
          <w:szCs w:val="28"/>
          <w:highlight w:val="none"/>
          <w:u w:val="single"/>
          <w:lang w:bidi="zh-CN"/>
        </w:rPr>
        <w:t xml:space="preserve">采购文件中明确的所属行业）</w:t>
      </w:r>
      <w:r>
        <w:rPr>
          <w:rFonts w:hint="eastAsia" w:eastAsia="宋体" w:cs="宋体"/>
          <w:color w:val="auto"/>
          <w:sz w:val="24"/>
          <w:szCs w:val="28"/>
          <w:highlight w:val="none"/>
          <w:lang w:bidi="zh-CN"/>
        </w:rPr>
        <w:t xml:space="preserve">；承建（承接）企业为</w:t>
      </w:r>
      <w:r>
        <w:rPr>
          <w:rFonts w:hint="eastAsia" w:eastAsia="宋体" w:cs="宋体"/>
          <w:color w:val="auto"/>
          <w:sz w:val="24"/>
          <w:szCs w:val="28"/>
          <w:highlight w:val="none"/>
          <w:u w:val="single"/>
          <w:lang w:bidi="zh-CN"/>
        </w:rPr>
        <w:t xml:space="preserve">（企业名称）</w:t>
      </w:r>
      <w:r>
        <w:rPr>
          <w:rFonts w:hint="eastAsia" w:eastAsia="宋体" w:cs="宋体"/>
          <w:color w:val="auto"/>
          <w:sz w:val="24"/>
          <w:szCs w:val="28"/>
          <w:highlight w:val="none"/>
          <w:lang w:bidi="zh-CN"/>
        </w:rPr>
        <w:t xml:space="preserve">，从业人员</w:t>
      </w:r>
      <w:r>
        <w:rPr>
          <w:rFonts w:hint="eastAsia" w:eastAsia="宋体" w:cs="宋体"/>
          <w:color w:val="auto"/>
          <w:sz w:val="24"/>
          <w:szCs w:val="28"/>
          <w:highlight w:val="none"/>
          <w:u w:val="single"/>
          <w:lang w:bidi="zh-CN"/>
        </w:rPr>
        <w:tab/>
      </w:r>
      <w:r>
        <w:rPr>
          <w:rFonts w:hint="eastAsia" w:eastAsia="宋体" w:cs="宋体"/>
          <w:color w:val="auto"/>
          <w:sz w:val="24"/>
          <w:szCs w:val="28"/>
          <w:highlight w:val="none"/>
          <w:lang w:bidi="zh-CN"/>
        </w:rPr>
        <w:t xml:space="preserve">人，营业收入为</w:t>
      </w:r>
      <w:r>
        <w:rPr>
          <w:rFonts w:hint="eastAsia" w:eastAsia="宋体" w:cs="宋体"/>
          <w:color w:val="auto"/>
          <w:sz w:val="24"/>
          <w:szCs w:val="28"/>
          <w:highlight w:val="none"/>
          <w:u w:val="single"/>
          <w:lang w:bidi="zh-CN"/>
        </w:rPr>
        <w:tab/>
      </w:r>
      <w:r>
        <w:rPr>
          <w:rFonts w:hint="eastAsia" w:eastAsia="宋体" w:cs="宋体"/>
          <w:color w:val="auto"/>
          <w:sz w:val="24"/>
          <w:szCs w:val="28"/>
          <w:highlight w:val="none"/>
          <w:lang w:bidi="zh-CN"/>
        </w:rPr>
        <w:t xml:space="preserve">万元，资产总额为</w:t>
      </w:r>
      <w:r>
        <w:rPr>
          <w:rFonts w:hint="eastAsia" w:eastAsia="宋体" w:cs="宋体"/>
          <w:color w:val="auto"/>
          <w:sz w:val="24"/>
          <w:szCs w:val="28"/>
          <w:highlight w:val="none"/>
          <w:u w:val="single"/>
          <w:lang w:bidi="zh-CN"/>
        </w:rPr>
        <w:tab/>
      </w:r>
      <w:r>
        <w:rPr>
          <w:rFonts w:hint="eastAsia" w:eastAsia="宋体" w:cs="宋体"/>
          <w:color w:val="auto"/>
          <w:sz w:val="24"/>
          <w:szCs w:val="28"/>
          <w:highlight w:val="none"/>
          <w:lang w:bidi="zh-CN"/>
        </w:rPr>
        <w:t xml:space="preserve">万元，属于</w:t>
      </w:r>
      <w:r>
        <w:rPr>
          <w:rFonts w:hint="eastAsia" w:eastAsia="宋体" w:cs="宋体"/>
          <w:color w:val="auto"/>
          <w:sz w:val="24"/>
          <w:szCs w:val="28"/>
          <w:highlight w:val="none"/>
          <w:u w:val="single"/>
          <w:lang w:bidi="zh-CN"/>
        </w:rPr>
        <w:t xml:space="preserve">（中型企业、小型企业、微型企业）</w:t>
      </w:r>
      <w:r>
        <w:rPr>
          <w:rFonts w:hint="eastAsia" w:eastAsia="宋体" w:cs="宋体"/>
          <w:color w:val="auto"/>
          <w:sz w:val="24"/>
          <w:szCs w:val="28"/>
          <w:highlight w:val="none"/>
          <w:lang w:bidi="zh-CN"/>
        </w:rPr>
        <w:t xml:space="preserve">；</w:t>
      </w:r>
      <w:r/>
    </w:p>
    <w:p>
      <w:pPr>
        <w:ind w:firstLine="480"/>
        <w:spacing w:line="360" w:lineRule="auto"/>
        <w:rPr>
          <w:rFonts w:eastAsia="宋体" w:cs="宋体"/>
          <w:color w:val="auto"/>
          <w:sz w:val="24"/>
          <w:szCs w:val="28"/>
          <w:highlight w:val="none"/>
        </w:rPr>
      </w:pPr>
      <w:r>
        <w:rPr>
          <w:rFonts w:hint="eastAsia" w:eastAsia="宋体" w:cs="宋体"/>
          <w:color w:val="auto"/>
          <w:sz w:val="24"/>
          <w:szCs w:val="28"/>
          <w:highlight w:val="none"/>
          <w:lang w:bidi="zh-CN"/>
        </w:rPr>
        <w:t xml:space="preserve">……</w:t>
      </w:r>
      <w:r/>
    </w:p>
    <w:p>
      <w:pPr>
        <w:ind w:firstLine="480"/>
        <w:spacing w:line="360" w:lineRule="auto"/>
        <w:rPr>
          <w:rFonts w:eastAsia="宋体" w:cs="宋体"/>
          <w:color w:val="auto"/>
          <w:sz w:val="24"/>
          <w:szCs w:val="28"/>
          <w:highlight w:val="none"/>
        </w:rPr>
      </w:pPr>
      <w:r>
        <w:rPr>
          <w:rFonts w:hint="eastAsia" w:eastAsia="宋体" w:cs="宋体"/>
          <w:color w:val="auto"/>
          <w:sz w:val="24"/>
          <w:szCs w:val="28"/>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eastAsia="宋体" w:cs="宋体"/>
          <w:color w:val="auto"/>
          <w:sz w:val="24"/>
          <w:szCs w:val="28"/>
          <w:highlight w:val="none"/>
        </w:rPr>
      </w:pPr>
      <w:r>
        <w:rPr>
          <w:rFonts w:hint="eastAsia" w:eastAsia="宋体" w:cs="宋体"/>
          <w:color w:val="auto"/>
          <w:sz w:val="24"/>
          <w:szCs w:val="28"/>
          <w:highlight w:val="none"/>
          <w:lang w:bidi="zh-CN"/>
        </w:rPr>
        <w:t xml:space="preserve">本企业对上述声明内容的真实性负责。如有虚假，将依法承担相应责任。</w:t>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spacing w:line="360" w:lineRule="auto"/>
        <w:rPr>
          <w:rFonts w:eastAsia="宋体" w:cs="宋体"/>
          <w:color w:val="auto"/>
          <w:highlight w:val="none"/>
        </w:rPr>
      </w:pPr>
      <w:r>
        <w:rPr>
          <w:rFonts w:eastAsia="宋体" w:cs="宋体"/>
          <w:color w:val="auto"/>
          <w:highlight w:val="none"/>
        </w:rPr>
      </w:r>
      <w:r/>
    </w:p>
    <w:p>
      <w:pPr>
        <w:ind w:firstLine="480"/>
        <w:spacing w:line="360" w:lineRule="auto"/>
        <w:rPr>
          <w:rFonts w:eastAsia="宋体" w:cs="宋体"/>
          <w:color w:val="auto"/>
          <w:sz w:val="24"/>
          <w:szCs w:val="28"/>
          <w:highlight w:val="none"/>
        </w:rPr>
      </w:pPr>
      <w:r>
        <w:rPr>
          <w:rFonts w:hint="eastAsia" w:eastAsia="宋体" w:cs="宋体"/>
          <w:color w:val="auto"/>
          <w:sz w:val="24"/>
          <w:szCs w:val="28"/>
          <w:highlight w:val="none"/>
          <w:lang w:bidi="zh-CN"/>
        </w:rPr>
        <w:t xml:space="preserve">企业名称（盖章）：</w:t>
      </w:r>
      <w:r/>
    </w:p>
    <w:p>
      <w:pPr>
        <w:ind w:firstLine="480"/>
        <w:spacing w:line="360" w:lineRule="auto"/>
        <w:rPr>
          <w:rFonts w:eastAsia="宋体" w:cs="宋体"/>
          <w:color w:val="auto"/>
          <w:sz w:val="24"/>
          <w:szCs w:val="28"/>
          <w:highlight w:val="none"/>
        </w:rPr>
      </w:pPr>
      <w:r>
        <w:rPr>
          <w:rFonts w:hint="eastAsia" w:eastAsia="宋体" w:cs="宋体"/>
          <w:color w:val="auto"/>
          <w:sz w:val="24"/>
          <w:szCs w:val="28"/>
          <w:highlight w:val="none"/>
          <w:lang w:bidi="zh-CN"/>
        </w:rPr>
        <w:t xml:space="preserve">日期：</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注1：从业人员、营业收入、资产总额填报上一年度数据，无上一年度数据的新成立企业可不填报。</w:t>
      </w:r>
      <w:r/>
    </w:p>
    <w:p>
      <w:pPr>
        <w:pStyle w:val="959"/>
        <w:spacing w:line="360" w:lineRule="auto"/>
        <w:rPr>
          <w:rFonts w:ascii="Times New Roman" w:eastAsia="宋体" w:cs="宋体"/>
          <w:color w:val="auto"/>
          <w:highlight w:val="none"/>
          <w:lang w:eastAsia="zh-CN"/>
        </w:rPr>
      </w:pPr>
      <w:r>
        <w:rPr>
          <w:rFonts w:ascii="Times New Roman" w:eastAsia="宋体" w:cs="宋体"/>
          <w:color w:val="auto"/>
          <w:highlight w:val="none"/>
          <w:lang w:eastAsia="zh-CN"/>
        </w:rPr>
      </w:r>
      <w:r/>
    </w:p>
    <w:p>
      <w:pPr>
        <w:jc w:val="center"/>
        <w:spacing w:line="360" w:lineRule="auto"/>
        <w:rPr>
          <w:rFonts w:eastAsia="宋体" w:cs="宋体"/>
          <w:b/>
          <w:color w:val="auto"/>
          <w:sz w:val="24"/>
          <w:szCs w:val="24"/>
          <w:highlight w:val="none"/>
        </w:rPr>
        <w:outlineLvl w:val="3"/>
      </w:pPr>
      <w:r>
        <w:rPr>
          <w:rFonts w:hint="eastAsia" w:eastAsia="宋体" w:cs="宋体"/>
          <w:b/>
          <w:bCs/>
          <w:color w:val="auto"/>
          <w:sz w:val="24"/>
          <w:szCs w:val="21"/>
          <w:highlight w:val="none"/>
        </w:rPr>
        <w:br w:type="page" w:clear="all"/>
      </w:r>
      <w:r>
        <w:rPr>
          <w:rFonts w:hint="eastAsia" w:eastAsia="宋体" w:cs="宋体"/>
          <w:b/>
          <w:bCs/>
          <w:color w:val="auto"/>
          <w:sz w:val="24"/>
          <w:szCs w:val="24"/>
          <w:highlight w:val="none"/>
        </w:rPr>
        <w:t xml:space="preserve">残疾人福利性单位声明函</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本单位对上述声明的真实性负责。如有虚假，将依法承担相应责任。</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eastAsia="宋体" w:cs="宋体"/>
          <w:color w:val="auto"/>
          <w:sz w:val="24"/>
          <w:szCs w:val="24"/>
          <w:highlight w:val="none"/>
        </w:rPr>
      </w:pPr>
      <w:r>
        <w:rPr>
          <w:rFonts w:hint="eastAsia" w:eastAsia="宋体" w:cs="宋体"/>
          <w:color w:val="auto"/>
          <w:sz w:val="24"/>
          <w:szCs w:val="24"/>
          <w:highlight w:val="none"/>
        </w:rPr>
        <w:t xml:space="preserve">供应商全称（盖章）：</w:t>
      </w:r>
      <w:r/>
    </w:p>
    <w:p>
      <w:pPr>
        <w:ind w:firstLine="480"/>
        <w:jc w:val="center"/>
        <w:spacing w:line="360" w:lineRule="auto"/>
        <w:tabs>
          <w:tab w:val="left" w:pos="4860" w:leader="none"/>
        </w:tabs>
        <w:rPr>
          <w:rFonts w:eastAsia="宋体" w:cs="宋体"/>
          <w:color w:val="auto"/>
          <w:sz w:val="24"/>
          <w:szCs w:val="24"/>
          <w:highlight w:val="none"/>
        </w:rPr>
      </w:pPr>
      <w:r>
        <w:rPr>
          <w:rFonts w:hint="eastAsia" w:eastAsia="宋体" w:cs="宋体"/>
          <w:color w:val="auto"/>
          <w:sz w:val="24"/>
          <w:szCs w:val="24"/>
          <w:highlight w:val="none"/>
        </w:rPr>
        <w:t xml:space="preserve">日期：</w:t>
      </w:r>
      <w:r/>
    </w:p>
    <w:p>
      <w:pPr>
        <w:spacing w:line="360" w:lineRule="auto"/>
        <w:shd w:val="clear" w:color="auto" w:fill="ffffff"/>
        <w:rPr>
          <w:rFonts w:eastAsia="宋体" w:cs="宋体"/>
          <w:color w:val="auto"/>
          <w:sz w:val="24"/>
          <w:szCs w:val="24"/>
          <w:highlight w:val="none"/>
        </w:rPr>
      </w:pPr>
      <w:r>
        <w:rPr>
          <w:rFonts w:eastAsia="宋体" w:cs="宋体"/>
          <w:color w:val="auto"/>
          <w:sz w:val="24"/>
          <w:szCs w:val="24"/>
          <w:highlight w:val="none"/>
        </w:rPr>
      </w:r>
      <w:r/>
    </w:p>
    <w:p>
      <w:pPr>
        <w:spacing w:line="360" w:lineRule="auto"/>
        <w:shd w:val="clear" w:color="auto" w:fill="ffffff"/>
        <w:rPr>
          <w:rFonts w:eastAsia="宋体" w:cs="宋体"/>
          <w:color w:val="auto"/>
          <w:sz w:val="24"/>
          <w:szCs w:val="24"/>
          <w:highlight w:val="none"/>
        </w:rPr>
      </w:pPr>
      <w:r>
        <w:rPr>
          <w:rFonts w:hint="eastAsia" w:eastAsia="宋体" w:cs="宋体"/>
          <w:color w:val="auto"/>
          <w:sz w:val="24"/>
          <w:szCs w:val="24"/>
          <w:highlight w:val="none"/>
        </w:rPr>
        <w:t xml:space="preserve">享受政府采购支持政策的残疾人福利性单位应当同时满足以下条件：</w:t>
      </w:r>
      <w:r/>
    </w:p>
    <w:p>
      <w:pPr>
        <w:spacing w:line="360" w:lineRule="auto"/>
        <w:shd w:val="clear" w:color="auto" w:fill="ffffff"/>
        <w:rPr>
          <w:rFonts w:eastAsia="宋体" w:cs="宋体"/>
          <w:color w:val="auto"/>
          <w:sz w:val="24"/>
          <w:szCs w:val="24"/>
          <w:highlight w:val="none"/>
        </w:rPr>
      </w:pPr>
      <w:r>
        <w:rPr>
          <w:rFonts w:hint="eastAsia" w:eastAsia="宋体" w:cs="宋体"/>
          <w:color w:val="auto"/>
          <w:sz w:val="24"/>
          <w:szCs w:val="24"/>
          <w:highlight w:val="none"/>
        </w:rPr>
        <w:t xml:space="preserve">　　（一）安置的残疾人占本单位在职职工人数的比例不低于25%（含25%），并且安置的残疾人人数不少于10人（含10人）；</w:t>
      </w:r>
      <w:r/>
    </w:p>
    <w:p>
      <w:pPr>
        <w:spacing w:line="360" w:lineRule="auto"/>
        <w:shd w:val="clear" w:color="auto" w:fill="ffffff"/>
        <w:rPr>
          <w:rFonts w:eastAsia="宋体" w:cs="宋体"/>
          <w:color w:val="auto"/>
          <w:sz w:val="24"/>
          <w:szCs w:val="24"/>
          <w:highlight w:val="none"/>
        </w:rPr>
      </w:pPr>
      <w:r>
        <w:rPr>
          <w:rFonts w:hint="eastAsia" w:eastAsia="宋体" w:cs="宋体"/>
          <w:color w:val="auto"/>
          <w:sz w:val="24"/>
          <w:szCs w:val="24"/>
          <w:highlight w:val="none"/>
        </w:rPr>
        <w:t xml:space="preserve">　　（二）依法与安置的每位残疾人签订了一年以上（含一年）的劳动合同或服务协议；</w:t>
      </w:r>
      <w:r/>
    </w:p>
    <w:p>
      <w:pPr>
        <w:spacing w:line="360" w:lineRule="auto"/>
        <w:shd w:val="clear" w:color="auto" w:fill="ffffff"/>
        <w:rPr>
          <w:rFonts w:eastAsia="宋体" w:cs="宋体"/>
          <w:color w:val="auto"/>
          <w:sz w:val="24"/>
          <w:szCs w:val="24"/>
          <w:highlight w:val="none"/>
        </w:rPr>
      </w:pPr>
      <w:r>
        <w:rPr>
          <w:rFonts w:hint="eastAsia" w:eastAsia="宋体" w:cs="宋体"/>
          <w:color w:val="auto"/>
          <w:sz w:val="24"/>
          <w:szCs w:val="24"/>
          <w:highlight w:val="none"/>
        </w:rPr>
        <w:t xml:space="preserve">　　（三）为安置的每位残疾人按月足额缴纳了基本养老保险、基本医疗保险、失业保险、工伤保险和生育保险等社会保险费；</w:t>
      </w:r>
      <w:r/>
    </w:p>
    <w:p>
      <w:pPr>
        <w:spacing w:line="360" w:lineRule="auto"/>
        <w:shd w:val="clear" w:color="auto" w:fill="ffffff"/>
        <w:rPr>
          <w:rFonts w:eastAsia="宋体" w:cs="宋体"/>
          <w:color w:val="auto"/>
          <w:sz w:val="24"/>
          <w:szCs w:val="24"/>
          <w:highlight w:val="none"/>
        </w:rPr>
      </w:pPr>
      <w:r>
        <w:rPr>
          <w:rFonts w:hint="eastAsia" w:eastAsia="宋体" w:cs="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spacing w:line="360" w:lineRule="auto"/>
        <w:shd w:val="clear" w:color="auto" w:fill="ffffff"/>
        <w:rPr>
          <w:rFonts w:eastAsia="宋体" w:cs="宋体"/>
          <w:color w:val="auto"/>
          <w:sz w:val="24"/>
          <w:szCs w:val="24"/>
          <w:highlight w:val="none"/>
        </w:rPr>
      </w:pPr>
      <w:r>
        <w:rPr>
          <w:rFonts w:hint="eastAsia" w:eastAsia="宋体" w:cs="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spacing w:line="360" w:lineRule="auto"/>
        <w:shd w:val="clear" w:color="auto" w:fill="ffffff"/>
        <w:rPr>
          <w:rFonts w:eastAsia="宋体" w:cs="宋体"/>
          <w:color w:val="auto"/>
          <w:sz w:val="24"/>
          <w:szCs w:val="24"/>
          <w:highlight w:val="none"/>
        </w:rPr>
      </w:pPr>
      <w:r>
        <w:rPr>
          <w:rFonts w:hint="eastAsia"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center"/>
        <w:spacing w:line="360" w:lineRule="auto"/>
        <w:rPr>
          <w:rFonts w:eastAsia="宋体" w:cs="宋体"/>
          <w:b/>
          <w:bCs/>
          <w:color w:val="auto"/>
          <w:sz w:val="24"/>
          <w:szCs w:val="21"/>
          <w:highlight w:val="none"/>
        </w:rPr>
        <w:outlineLvl w:val="3"/>
      </w:pPr>
      <w:r>
        <w:rPr>
          <w:rFonts w:hint="eastAsia" w:eastAsia="宋体" w:cs="宋体"/>
          <w:b/>
          <w:color w:val="auto"/>
          <w:sz w:val="24"/>
          <w:szCs w:val="24"/>
          <w:highlight w:val="none"/>
        </w:rPr>
        <w:br w:type="page" w:clear="all"/>
      </w:r>
      <w:r>
        <w:rPr>
          <w:rFonts w:hint="eastAsia" w:eastAsia="宋体" w:cs="宋体"/>
          <w:b/>
          <w:bCs/>
          <w:color w:val="auto"/>
          <w:sz w:val="24"/>
          <w:szCs w:val="21"/>
          <w:highlight w:val="none"/>
        </w:rPr>
        <w:t xml:space="preserve">监狱企业证明函</w:t>
      </w:r>
      <w:r/>
    </w:p>
    <w:p>
      <w:pPr>
        <w:ind w:firstLine="646"/>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根据《财政部司法部关于政府采购支持监狱企业发展有关问题的通知》（财库[2014]68号）的规定，（填写供应商法定全称）为监狱企业。</w:t>
      </w:r>
      <w:r/>
    </w:p>
    <w:p>
      <w:pPr>
        <w:ind w:firstLine="646"/>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特此声明。</w:t>
      </w:r>
      <w:r/>
    </w:p>
    <w:p>
      <w:pPr>
        <w:ind w:firstLine="1440"/>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省级以上监狱管理局、戒毒管理局（含新疆生产建设兵团）（盖章）：</w:t>
      </w:r>
      <w:r/>
    </w:p>
    <w:p>
      <w:pPr>
        <w:spacing w:line="360" w:lineRule="auto"/>
        <w:rPr>
          <w:rFonts w:eastAsia="宋体" w:cs="宋体"/>
          <w:b/>
          <w:bCs/>
          <w:color w:val="auto"/>
          <w:sz w:val="24"/>
          <w:szCs w:val="24"/>
          <w:highlight w:val="none"/>
        </w:rPr>
      </w:pPr>
      <w:r>
        <w:rPr>
          <w:rFonts w:hint="eastAsia" w:eastAsia="宋体" w:cs="宋体"/>
          <w:color w:val="auto"/>
          <w:sz w:val="24"/>
          <w:szCs w:val="21"/>
          <w:highlight w:val="none"/>
        </w:rPr>
        <w:t xml:space="preserve">日期：</w:t>
      </w:r>
      <w:r/>
    </w:p>
    <w:p>
      <w:pPr>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spacing w:line="360" w:lineRule="auto"/>
        <w:rPr>
          <w:rFonts w:eastAsia="宋体" w:cs="宋体"/>
          <w:b/>
          <w:color w:val="auto"/>
          <w:sz w:val="21"/>
          <w:szCs w:val="22"/>
          <w:highlight w:val="none"/>
        </w:rPr>
      </w:pPr>
      <w:r>
        <w:rPr>
          <w:rFonts w:eastAsia="宋体" w:cs="宋体"/>
          <w:b/>
          <w:color w:val="auto"/>
          <w:sz w:val="21"/>
          <w:szCs w:val="22"/>
          <w:highlight w:val="none"/>
        </w:rPr>
      </w:r>
      <w:r/>
    </w:p>
    <w:p>
      <w:pPr>
        <w:spacing w:line="360" w:lineRule="auto"/>
        <w:rPr>
          <w:rFonts w:eastAsia="宋体" w:cs="宋体"/>
          <w:color w:val="auto"/>
          <w:szCs w:val="22"/>
          <w:highlight w:val="none"/>
        </w:rPr>
      </w:pPr>
      <w:r>
        <w:rPr>
          <w:rFonts w:hint="eastAsia" w:eastAsia="宋体" w:cs="宋体"/>
          <w:color w:val="auto"/>
          <w:szCs w:val="22"/>
          <w:highlight w:val="none"/>
        </w:rPr>
        <w:br w:type="page" w:clear="all"/>
      </w:r>
      <w:r/>
    </w:p>
    <w:p>
      <w:pPr>
        <w:pStyle w:val="1074"/>
        <w:jc w:val="both"/>
        <w:rPr>
          <w:rFonts w:eastAsia="宋体" w:cs="宋体"/>
          <w:color w:val="auto"/>
          <w:szCs w:val="22"/>
          <w:highlight w:val="none"/>
        </w:rPr>
      </w:pPr>
      <w:r>
        <w:rPr>
          <w:rFonts w:hint="eastAsia" w:eastAsia="宋体" w:cs="宋体"/>
          <w:color w:val="auto"/>
          <w:szCs w:val="22"/>
          <w:highlight w:val="none"/>
        </w:rPr>
        <w:t xml:space="preserve">附件：</w:t>
      </w:r>
      <w:r/>
    </w:p>
    <w:p>
      <w:pPr>
        <w:jc w:val="center"/>
        <w:spacing w:line="360" w:lineRule="auto"/>
        <w:shd w:val="clear" w:color="auto" w:fill="ffffff"/>
        <w:rPr>
          <w:rFonts w:eastAsia="宋体" w:cs="宋体"/>
          <w:color w:val="auto"/>
          <w:sz w:val="24"/>
          <w:highlight w:val="none"/>
        </w:rPr>
      </w:pPr>
      <w:r>
        <w:rPr>
          <w:rFonts w:hint="eastAsia" w:eastAsia="宋体" w:cs="宋体"/>
          <w:b/>
          <w:color w:val="auto"/>
          <w:sz w:val="24"/>
          <w:szCs w:val="24"/>
          <w:highlight w:val="none"/>
        </w:rPr>
        <w:t xml:space="preserve">中小企业划型标准规定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各行业划型标准为：</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二）工业。从业人员1000人以下或营业收入40000万元以下的为中小微型企业。其中，从业人员300人及以上，且营业收入2000万元及以上的为中型企业；从业人员20人及以上，且营业收入114万元及以上的为小型企业；从业人员20人以下或营业收入114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三）建筑业。营业收入80000万元以下或资产总额80000万元以下的为中小微型企业。其中，营业收入6000万元及以上，且资产总额5000万元及以上的为中型企业；营业收入114万元及以上，且资产总额114万元及以上的为小型企业；营业收入114万元以下或资产总额114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eastAsia="宋体" w:cs="宋体"/>
          <w:color w:val="auto"/>
          <w:sz w:val="24"/>
          <w:szCs w:val="22"/>
          <w:highlight w:val="none"/>
        </w:rPr>
      </w:pPr>
      <w:r>
        <w:rPr>
          <w:rFonts w:hint="eastAsia" w:eastAsia="宋体" w:cs="宋体"/>
          <w:color w:val="auto"/>
          <w:sz w:val="24"/>
          <w:szCs w:val="22"/>
          <w:highlight w:val="none"/>
        </w:rPr>
        <w:t xml:space="preserve">（十六）其他未列明行业。从业人员300人以下的为中小微型企业。其中，从业人员100人及以上的为中型企业；从业人员10人及以上的为小型企业；从业人员10人以下的为微型企业。</w:t>
      </w:r>
      <w:r/>
    </w:p>
    <w:sectPr>
      <w:headerReference w:type="default" r:id="rId13"/>
      <w:headerReference w:type="first" r:id="rId14"/>
      <w:footerReference w:type="first" r:id="rId21"/>
      <w:footnotePr/>
      <w:endnotePr/>
      <w:type w:val="nextPage"/>
      <w:pgSz w:w="11905" w:h="16838" w:orient="portrait"/>
      <w:pgMar w:top="1417" w:right="1701" w:bottom="1587" w:left="1701"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imesNewRomanPSMT">
    <w:panose1 w:val="02020603050405020304"/>
  </w:font>
  <w:font w:name="PingFangSC-Regular-Identity-H">
    <w:panose1 w:val="020B0503020202020204"/>
  </w:font>
  <w:font w:name="仿宋">
    <w:panose1 w:val="02010609060101010101"/>
  </w:font>
  <w:font w:name="等线">
    <w:panose1 w:val="02010600030101010101"/>
  </w:font>
  <w:font w:name="方正仿宋简体">
    <w:panose1 w:val="020B0503020202020204"/>
  </w:font>
  <w:font w:name="Tahoma">
    <w:panose1 w:val="020B0604030504040204"/>
  </w:font>
  <w:font w:name="Menlo">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创艺简仿宋">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Style w:val="1085"/>
      </w:rPr>
      <w:framePr w:wrap="around" w:vAnchor="text" w:hAnchor="margin" w:xAlign="right" w:y="1"/>
    </w:pPr>
    <w:r>
      <w:fldChar w:fldCharType="begin"/>
    </w:r>
    <w:r>
      <w:rPr>
        <w:rStyle w:val="1085"/>
      </w:rPr>
      <w:instrText xml:space="preserve">PAGE  </w:instrText>
    </w:r>
    <w:r>
      <w:fldChar w:fldCharType="end"/>
    </w:r>
    <w:r/>
  </w:p>
  <w:p>
    <w:pPr>
      <w:pStyle w:val="1052"/>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105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tabs>
                              <w:tab w:val="center" w:pos="4153" w:leader="none"/>
                              <w:tab w:val="clear" w:pos="7143" w:leader="none"/>
                              <w:tab w:val="right" w:pos="8306" w:leader="none"/>
                              <w:tab w:val="clear" w:pos="14287" w:leader="none"/>
                            </w:tabs>
                            <w:rPr>
                              <w:rFonts w:hint="eastAsia" w:ascii="宋体" w:hAnsi="宋体" w:eastAsia="宋体" w:cs="宋体"/>
                              <w:sz w:val="28"/>
                              <w:szCs w:val="44"/>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 xml:space="preserve">- 11 -</w:t>
                          </w:r>
                          <w:r>
                            <w:rPr>
                              <w:rFonts w:hint="eastAsia" w:ascii="宋体" w:hAnsi="宋体" w:eastAsia="宋体" w:cs="宋体"/>
                              <w:sz w:val="28"/>
                              <w:szCs w:val="44"/>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tabs>
                        <w:tab w:val="center" w:pos="4153" w:leader="none"/>
                        <w:tab w:val="clear" w:pos="7143" w:leader="none"/>
                        <w:tab w:val="right" w:pos="8306" w:leader="none"/>
                        <w:tab w:val="clear" w:pos="14287" w:leader="none"/>
                      </w:tabs>
                      <w:rPr>
                        <w:rFonts w:hint="eastAsia" w:ascii="宋体" w:hAnsi="宋体" w:eastAsia="宋体" w:cs="宋体"/>
                        <w:sz w:val="28"/>
                        <w:szCs w:val="44"/>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 xml:space="preserve">- 11 -</w:t>
                    </w:r>
                    <w:r>
                      <w:rPr>
                        <w:rFonts w:hint="eastAsia" w:ascii="宋体" w:hAnsi="宋体" w:eastAsia="宋体" w:cs="宋体"/>
                        <w:sz w:val="28"/>
                        <w:szCs w:val="44"/>
                      </w:rPr>
                      <w:fldChar w:fldCharType="end"/>
                    </w:r>
                    <w:r/>
                  </w:p>
                </w:txbxContent>
              </v:textbox>
            </v:shape>
          </w:pict>
        </mc:Fallback>
      </mc:AlternateContent>
    </w:r>
    <w:r/>
  </w:p>
  <w:p>
    <w:pPr>
      <w:pStyle w:val="1052"/>
      <w:ind w:firstLine="3420"/>
      <w:jc w:val="both"/>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79</w:t>
    </w:r>
    <w:r>
      <w:rPr>
        <w:b/>
        <w:sz w:val="24"/>
        <w:szCs w:val="24"/>
      </w:rPr>
      <w:fldChar w:fldCharType="end"/>
    </w:r>
    <w:r/>
  </w:p>
  <w:p>
    <w:pPr>
      <w:pStyle w:val="1052"/>
      <w:ind w:firstLine="3420"/>
      <w:jc w:val="both"/>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1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84</w:t>
                          </w:r>
                          <w:r>
                            <w:rPr>
                              <w:sz w:val="18"/>
                            </w:rPr>
                            <w:fldChar w:fldCharType="end"/>
                          </w:r>
                          <w:r>
                            <w:rPr>
                              <w:rFonts w:hint="eastAsia"/>
                              <w:sz w:val="18"/>
                            </w:rPr>
                            <w:t xml:space="preserve"> 页</w:t>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84</w:t>
                    </w:r>
                    <w:r>
                      <w:rPr>
                        <w:sz w:val="18"/>
                      </w:rPr>
                      <w:fldChar w:fldCharType="end"/>
                    </w:r>
                    <w:r>
                      <w:rPr>
                        <w:rFonts w:hint="eastAsia"/>
                        <w:sz w:val="18"/>
                      </w:rPr>
                      <w:t xml:space="preserve"> 页</w:t>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1016"/>
      <w:isLgl w:val="false"/>
      <w:suff w:val="tab"/>
      <w:lvlText w:val="%1.%2.%3.%4.%5"/>
      <w:lvlJc w:val="left"/>
      <w:pPr>
        <w:ind w:left="1008" w:hanging="1008"/>
        <w:tabs>
          <w:tab w:val="left" w:pos="1008" w:leader="none"/>
        </w:tabs>
      </w:pPr>
    </w:lvl>
    <w:lvl w:ilvl="5">
      <w:start w:val="1"/>
      <w:numFmt w:val="decimal"/>
      <w:pStyle w:val="1019"/>
      <w:isLgl w:val="false"/>
      <w:suff w:val="tab"/>
      <w:lvlText w:val="%1.%2.%3.%4.%5.%6"/>
      <w:lvlJc w:val="left"/>
      <w:pPr>
        <w:ind w:left="1152" w:hanging="1152"/>
        <w:tabs>
          <w:tab w:val="left" w:pos="1152" w:leader="none"/>
        </w:tabs>
      </w:pPr>
    </w:lvl>
    <w:lvl w:ilvl="6">
      <w:start w:val="1"/>
      <w:numFmt w:val="decimal"/>
      <w:pStyle w:val="1020"/>
      <w:isLgl w:val="false"/>
      <w:suff w:val="tab"/>
      <w:lvlText w:val="%1.%2.%3.%4.%5.%6.%7"/>
      <w:lvlJc w:val="left"/>
      <w:pPr>
        <w:ind w:left="1296" w:hanging="1296"/>
        <w:tabs>
          <w:tab w:val="left" w:pos="1296" w:leader="none"/>
        </w:tabs>
      </w:pPr>
    </w:lvl>
    <w:lvl w:ilvl="7">
      <w:start w:val="1"/>
      <w:numFmt w:val="decimal"/>
      <w:pStyle w:val="1021"/>
      <w:isLgl w:val="false"/>
      <w:suff w:val="tab"/>
      <w:lvlText w:val="%1.%2.%3.%4.%5.%6.%7.%8"/>
      <w:lvlJc w:val="left"/>
      <w:pPr>
        <w:ind w:left="1440" w:hanging="1440"/>
        <w:tabs>
          <w:tab w:val="left" w:pos="1440" w:leader="none"/>
        </w:tabs>
      </w:pPr>
    </w:lvl>
    <w:lvl w:ilvl="8">
      <w:start w:val="1"/>
      <w:numFmt w:val="decimal"/>
      <w:pStyle w:val="1022"/>
      <w:isLgl w:val="false"/>
      <w:suff w:val="tab"/>
      <w:lvlText w:val="%1.%2.%3.%4.%5.%6.%7.%8.%9"/>
      <w:lvlJc w:val="left"/>
      <w:pPr>
        <w:ind w:left="1584" w:hanging="1584"/>
        <w:tabs>
          <w:tab w:val="left" w:pos="1584" w:leader="none"/>
        </w:tabs>
      </w:p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92">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7">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8">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11">
    <w:name w:val="TOC Heading"/>
    <w:uiPriority w:val="39"/>
    <w:unhideWhenUsed/>
  </w:style>
  <w:style w:type="paragraph" w:styleId="912"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13">
    <w:name w:val="Heading 1"/>
    <w:basedOn w:val="912"/>
    <w:next w:val="912"/>
    <w:uiPriority w:val="9"/>
    <w:qFormat/>
    <w:pPr>
      <w:keepLines/>
      <w:keepNext/>
      <w:spacing w:before="480" w:after="200"/>
      <w:outlineLvl w:val="0"/>
    </w:pPr>
    <w:rPr>
      <w:rFonts w:ascii="Arial" w:hAnsi="Arial" w:eastAsia="Arial" w:cs="Arial"/>
      <w:sz w:val="40"/>
      <w:szCs w:val="40"/>
    </w:rPr>
  </w:style>
  <w:style w:type="paragraph" w:styleId="914">
    <w:name w:val="Heading 2"/>
    <w:basedOn w:val="912"/>
    <w:next w:val="912"/>
    <w:uiPriority w:val="9"/>
    <w:unhideWhenUsed/>
    <w:qFormat/>
    <w:pPr>
      <w:keepLines/>
      <w:keepNext/>
      <w:spacing w:before="360" w:after="200"/>
      <w:outlineLvl w:val="1"/>
    </w:pPr>
    <w:rPr>
      <w:rFonts w:ascii="Arial" w:hAnsi="Arial" w:eastAsia="Arial" w:cs="Arial"/>
      <w:sz w:val="34"/>
    </w:rPr>
  </w:style>
  <w:style w:type="paragraph" w:styleId="915">
    <w:name w:val="Heading 3"/>
    <w:basedOn w:val="912"/>
    <w:next w:val="912"/>
    <w:uiPriority w:val="9"/>
    <w:unhideWhenUsed/>
    <w:qFormat/>
    <w:pPr>
      <w:keepLines/>
      <w:keepNext/>
      <w:spacing w:before="320" w:after="200"/>
      <w:outlineLvl w:val="2"/>
    </w:pPr>
    <w:rPr>
      <w:rFonts w:ascii="Arial" w:hAnsi="Arial" w:eastAsia="Arial" w:cs="Arial"/>
      <w:sz w:val="30"/>
      <w:szCs w:val="30"/>
    </w:rPr>
  </w:style>
  <w:style w:type="paragraph" w:styleId="916">
    <w:name w:val="Heading 4"/>
    <w:basedOn w:val="912"/>
    <w:next w:val="912"/>
    <w:uiPriority w:val="9"/>
    <w:unhideWhenUsed/>
    <w:qFormat/>
    <w:pPr>
      <w:keepLines/>
      <w:keepNext/>
      <w:spacing w:before="320" w:after="200"/>
      <w:outlineLvl w:val="3"/>
    </w:pPr>
    <w:rPr>
      <w:rFonts w:ascii="Arial" w:hAnsi="Arial" w:eastAsia="Arial" w:cs="Arial"/>
      <w:b/>
      <w:bCs/>
      <w:szCs w:val="26"/>
    </w:rPr>
  </w:style>
  <w:style w:type="paragraph" w:styleId="917">
    <w:name w:val="Heading 5"/>
    <w:basedOn w:val="912"/>
    <w:next w:val="912"/>
    <w:uiPriority w:val="9"/>
    <w:unhideWhenUsed/>
    <w:qFormat/>
    <w:pPr>
      <w:keepLines/>
      <w:keepNext/>
      <w:spacing w:before="320" w:after="200"/>
      <w:outlineLvl w:val="4"/>
    </w:pPr>
    <w:rPr>
      <w:rFonts w:ascii="Arial" w:hAnsi="Arial" w:eastAsia="Arial" w:cs="Arial"/>
      <w:b/>
      <w:bCs/>
      <w:sz w:val="24"/>
      <w:szCs w:val="24"/>
    </w:rPr>
  </w:style>
  <w:style w:type="paragraph" w:styleId="918">
    <w:name w:val="Heading 6"/>
    <w:basedOn w:val="912"/>
    <w:next w:val="912"/>
    <w:uiPriority w:val="9"/>
    <w:unhideWhenUsed/>
    <w:qFormat/>
    <w:pPr>
      <w:keepLines/>
      <w:keepNext/>
      <w:spacing w:before="320" w:after="200"/>
      <w:outlineLvl w:val="5"/>
    </w:pPr>
    <w:rPr>
      <w:rFonts w:ascii="Arial" w:hAnsi="Arial" w:eastAsia="Arial" w:cs="Arial"/>
      <w:b/>
      <w:bCs/>
      <w:sz w:val="22"/>
      <w:szCs w:val="22"/>
    </w:rPr>
  </w:style>
  <w:style w:type="paragraph" w:styleId="919">
    <w:name w:val="Heading 7"/>
    <w:basedOn w:val="912"/>
    <w:next w:val="912"/>
    <w:uiPriority w:val="9"/>
    <w:unhideWhenUsed/>
    <w:qFormat/>
    <w:pPr>
      <w:keepLines/>
      <w:keepNext/>
      <w:spacing w:before="320" w:after="200"/>
      <w:outlineLvl w:val="6"/>
    </w:pPr>
    <w:rPr>
      <w:rFonts w:ascii="Arial" w:hAnsi="Arial" w:eastAsia="Arial" w:cs="Arial"/>
      <w:b/>
      <w:bCs/>
      <w:i/>
      <w:iCs/>
      <w:sz w:val="22"/>
      <w:szCs w:val="22"/>
    </w:rPr>
  </w:style>
  <w:style w:type="paragraph" w:styleId="920">
    <w:name w:val="Heading 8"/>
    <w:basedOn w:val="912"/>
    <w:next w:val="912"/>
    <w:uiPriority w:val="9"/>
    <w:unhideWhenUsed/>
    <w:qFormat/>
    <w:pPr>
      <w:keepLines/>
      <w:keepNext/>
      <w:spacing w:before="320" w:after="200"/>
      <w:outlineLvl w:val="7"/>
    </w:pPr>
    <w:rPr>
      <w:rFonts w:ascii="Arial" w:hAnsi="Arial" w:eastAsia="Arial" w:cs="Arial"/>
      <w:i/>
      <w:iCs/>
      <w:sz w:val="22"/>
      <w:szCs w:val="22"/>
    </w:rPr>
  </w:style>
  <w:style w:type="paragraph" w:styleId="921">
    <w:name w:val="Heading 9"/>
    <w:basedOn w:val="912"/>
    <w:next w:val="912"/>
    <w:uiPriority w:val="9"/>
    <w:unhideWhenUsed/>
    <w:qFormat/>
    <w:pPr>
      <w:keepLines/>
      <w:keepNext/>
      <w:spacing w:before="320" w:after="200"/>
      <w:outlineLvl w:val="8"/>
    </w:pPr>
    <w:rPr>
      <w:rFonts w:ascii="Arial" w:hAnsi="Arial" w:eastAsia="Arial" w:cs="Arial"/>
      <w:i/>
      <w:iCs/>
      <w:sz w:val="21"/>
      <w:szCs w:val="21"/>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toc 7"/>
    <w:basedOn w:val="912"/>
    <w:next w:val="912"/>
    <w:uiPriority w:val="39"/>
    <w:unhideWhenUsed/>
    <w:qFormat/>
    <w:pPr>
      <w:ind w:left="1701"/>
      <w:spacing w:after="57"/>
    </w:pPr>
  </w:style>
  <w:style w:type="paragraph" w:styleId="925">
    <w:name w:val="Normal Indent"/>
    <w:basedOn w:val="912"/>
    <w:uiPriority w:val="99"/>
    <w:semiHidden/>
    <w:unhideWhenUsed/>
    <w:qFormat/>
    <w:pPr>
      <w:ind w:firstLine="420"/>
    </w:pPr>
  </w:style>
  <w:style w:type="paragraph" w:styleId="926">
    <w:name w:val="Caption"/>
    <w:basedOn w:val="912"/>
    <w:next w:val="9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7">
    <w:name w:val="toc 5"/>
    <w:basedOn w:val="912"/>
    <w:next w:val="912"/>
    <w:uiPriority w:val="39"/>
    <w:unhideWhenUsed/>
    <w:qFormat/>
    <w:pPr>
      <w:ind w:left="1134"/>
      <w:spacing w:after="57"/>
    </w:pPr>
  </w:style>
  <w:style w:type="paragraph" w:styleId="928">
    <w:name w:val="toc 3"/>
    <w:basedOn w:val="912"/>
    <w:next w:val="912"/>
    <w:uiPriority w:val="39"/>
    <w:unhideWhenUsed/>
    <w:qFormat/>
    <w:pPr>
      <w:ind w:left="567"/>
      <w:spacing w:after="57"/>
    </w:pPr>
  </w:style>
  <w:style w:type="paragraph" w:styleId="929">
    <w:name w:val="toc 8"/>
    <w:basedOn w:val="912"/>
    <w:next w:val="912"/>
    <w:uiPriority w:val="39"/>
    <w:unhideWhenUsed/>
    <w:qFormat/>
    <w:pPr>
      <w:ind w:left="1984"/>
      <w:spacing w:after="57"/>
    </w:pPr>
  </w:style>
  <w:style w:type="paragraph" w:styleId="930">
    <w:name w:val="endnote text"/>
    <w:basedOn w:val="912"/>
    <w:uiPriority w:val="99"/>
    <w:semiHidden/>
    <w:unhideWhenUsed/>
    <w:qFormat/>
    <w:rPr>
      <w:sz w:val="20"/>
    </w:rPr>
  </w:style>
  <w:style w:type="paragraph" w:styleId="931">
    <w:name w:val="Footer"/>
    <w:basedOn w:val="912"/>
    <w:uiPriority w:val="99"/>
    <w:unhideWhenUsed/>
    <w:qFormat/>
    <w:pPr>
      <w:tabs>
        <w:tab w:val="center" w:pos="7143" w:leader="none"/>
        <w:tab w:val="right" w:pos="14287" w:leader="none"/>
      </w:tabs>
    </w:pPr>
  </w:style>
  <w:style w:type="paragraph" w:styleId="932">
    <w:name w:val="Header"/>
    <w:basedOn w:val="912"/>
    <w:uiPriority w:val="99"/>
    <w:unhideWhenUsed/>
    <w:qFormat/>
    <w:pPr>
      <w:tabs>
        <w:tab w:val="center" w:pos="7143" w:leader="none"/>
        <w:tab w:val="right" w:pos="14287" w:leader="none"/>
      </w:tabs>
    </w:pPr>
  </w:style>
  <w:style w:type="paragraph" w:styleId="933">
    <w:name w:val="toc 1"/>
    <w:basedOn w:val="912"/>
    <w:next w:val="912"/>
    <w:uiPriority w:val="39"/>
    <w:unhideWhenUsed/>
    <w:qFormat/>
    <w:pPr>
      <w:spacing w:after="57"/>
    </w:pPr>
  </w:style>
  <w:style w:type="paragraph" w:styleId="934">
    <w:name w:val="toc 4"/>
    <w:basedOn w:val="912"/>
    <w:next w:val="912"/>
    <w:uiPriority w:val="39"/>
    <w:unhideWhenUsed/>
    <w:qFormat/>
    <w:pPr>
      <w:ind w:left="850"/>
      <w:spacing w:after="57"/>
    </w:pPr>
  </w:style>
  <w:style w:type="paragraph" w:styleId="935">
    <w:name w:val="Subtitle"/>
    <w:basedOn w:val="912"/>
    <w:next w:val="912"/>
    <w:uiPriority w:val="11"/>
    <w:qFormat/>
    <w:pPr>
      <w:spacing w:before="200" w:after="200"/>
    </w:pPr>
    <w:rPr>
      <w:sz w:val="24"/>
      <w:szCs w:val="24"/>
    </w:rPr>
  </w:style>
  <w:style w:type="paragraph" w:styleId="936">
    <w:name w:val="footnote text"/>
    <w:basedOn w:val="912"/>
    <w:uiPriority w:val="99"/>
    <w:semiHidden/>
    <w:unhideWhenUsed/>
    <w:qFormat/>
    <w:pPr>
      <w:spacing w:after="40"/>
    </w:pPr>
    <w:rPr>
      <w:sz w:val="18"/>
    </w:rPr>
  </w:style>
  <w:style w:type="paragraph" w:styleId="937">
    <w:name w:val="toc 6"/>
    <w:basedOn w:val="912"/>
    <w:next w:val="912"/>
    <w:uiPriority w:val="39"/>
    <w:unhideWhenUsed/>
    <w:qFormat/>
    <w:pPr>
      <w:ind w:left="1417"/>
      <w:spacing w:after="57"/>
    </w:pPr>
  </w:style>
  <w:style w:type="paragraph" w:styleId="938">
    <w:name w:val="table of figures"/>
    <w:basedOn w:val="912"/>
    <w:next w:val="912"/>
    <w:uiPriority w:val="99"/>
    <w:unhideWhenUsed/>
    <w:qFormat/>
  </w:style>
  <w:style w:type="paragraph" w:styleId="939">
    <w:name w:val="toc 2"/>
    <w:basedOn w:val="912"/>
    <w:next w:val="912"/>
    <w:uiPriority w:val="39"/>
    <w:unhideWhenUsed/>
    <w:qFormat/>
    <w:pPr>
      <w:ind w:left="283"/>
      <w:spacing w:after="57"/>
    </w:pPr>
  </w:style>
  <w:style w:type="paragraph" w:styleId="940">
    <w:name w:val="toc 9"/>
    <w:basedOn w:val="912"/>
    <w:next w:val="912"/>
    <w:uiPriority w:val="39"/>
    <w:unhideWhenUsed/>
    <w:qFormat/>
    <w:pPr>
      <w:ind w:left="2268"/>
      <w:spacing w:after="57"/>
    </w:pPr>
  </w:style>
  <w:style w:type="paragraph" w:styleId="941">
    <w:name w:val="Title"/>
    <w:basedOn w:val="912"/>
    <w:next w:val="912"/>
    <w:uiPriority w:val="10"/>
    <w:qFormat/>
    <w:pPr>
      <w:contextualSpacing/>
      <w:spacing w:before="300" w:after="200"/>
    </w:pPr>
    <w:rPr>
      <w:sz w:val="48"/>
      <w:szCs w:val="48"/>
    </w:rPr>
  </w:style>
  <w:style w:type="table" w:styleId="9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name w:val="endnote reference"/>
    <w:uiPriority w:val="99"/>
    <w:semiHidden/>
    <w:unhideWhenUsed/>
    <w:qFormat/>
    <w:rPr>
      <w:vertAlign w:val="superscript"/>
    </w:rPr>
  </w:style>
  <w:style w:type="character" w:styleId="944">
    <w:name w:val="Hyperlink"/>
    <w:uiPriority w:val="99"/>
    <w:unhideWhenUsed/>
    <w:qFormat/>
    <w:rPr>
      <w:color w:val="0000ff" w:themeColor="hyperlink"/>
      <w:u w:val="single"/>
      <w14:textFill>
        <w14:solidFill>
          <w14:schemeClr w14:val="hlink"/>
        </w14:solidFill>
      </w14:textFill>
    </w:rPr>
  </w:style>
  <w:style w:type="character" w:styleId="945">
    <w:name w:val="footnote reference"/>
    <w:uiPriority w:val="99"/>
    <w:unhideWhenUsed/>
    <w:qFormat/>
    <w:rPr>
      <w:vertAlign w:val="superscript"/>
    </w:rPr>
  </w:style>
  <w:style w:type="paragraph" w:styleId="946" w:customStyle="1">
    <w:name w:val="标题 112"/>
    <w:basedOn w:val="912"/>
    <w:next w:val="912"/>
    <w:uiPriority w:val="9"/>
    <w:qFormat/>
    <w:pPr>
      <w:keepLines/>
      <w:keepNext/>
      <w:spacing w:before="480" w:after="200"/>
      <w:outlineLvl w:val="0"/>
    </w:pPr>
    <w:rPr>
      <w:rFonts w:ascii="Arial" w:hAnsi="Arial" w:eastAsia="Arial" w:cs="Arial"/>
      <w:sz w:val="40"/>
      <w:szCs w:val="40"/>
    </w:rPr>
  </w:style>
  <w:style w:type="paragraph" w:styleId="947" w:customStyle="1">
    <w:name w:val="标题 212"/>
    <w:basedOn w:val="912"/>
    <w:next w:val="912"/>
    <w:uiPriority w:val="9"/>
    <w:unhideWhenUsed/>
    <w:qFormat/>
    <w:pPr>
      <w:keepLines/>
      <w:keepNext/>
      <w:spacing w:before="360" w:after="200"/>
      <w:outlineLvl w:val="1"/>
    </w:pPr>
    <w:rPr>
      <w:rFonts w:ascii="Arial" w:hAnsi="Arial" w:eastAsia="Arial" w:cs="Arial"/>
      <w:sz w:val="34"/>
    </w:rPr>
  </w:style>
  <w:style w:type="paragraph" w:styleId="948" w:customStyle="1">
    <w:name w:val="标题 312"/>
    <w:basedOn w:val="912"/>
    <w:next w:val="912"/>
    <w:uiPriority w:val="9"/>
    <w:unhideWhenUsed/>
    <w:qFormat/>
    <w:pPr>
      <w:keepLines/>
      <w:keepNext/>
      <w:spacing w:before="320" w:after="200"/>
      <w:outlineLvl w:val="2"/>
    </w:pPr>
    <w:rPr>
      <w:rFonts w:ascii="Arial" w:hAnsi="Arial" w:eastAsia="Arial" w:cs="Arial"/>
      <w:sz w:val="30"/>
      <w:szCs w:val="30"/>
    </w:rPr>
  </w:style>
  <w:style w:type="paragraph" w:styleId="949" w:customStyle="1">
    <w:name w:val="标题 412"/>
    <w:basedOn w:val="912"/>
    <w:next w:val="912"/>
    <w:uiPriority w:val="9"/>
    <w:unhideWhenUsed/>
    <w:qFormat/>
    <w:pPr>
      <w:keepLines/>
      <w:keepNext/>
      <w:spacing w:before="320" w:after="200"/>
      <w:outlineLvl w:val="3"/>
    </w:pPr>
    <w:rPr>
      <w:rFonts w:ascii="Arial" w:hAnsi="Arial" w:eastAsia="Arial" w:cs="Arial"/>
      <w:b/>
      <w:bCs/>
      <w:szCs w:val="26"/>
    </w:rPr>
  </w:style>
  <w:style w:type="paragraph" w:styleId="950" w:customStyle="1">
    <w:name w:val="标题 512"/>
    <w:basedOn w:val="912"/>
    <w:next w:val="912"/>
    <w:uiPriority w:val="9"/>
    <w:unhideWhenUsed/>
    <w:qFormat/>
    <w:pPr>
      <w:keepLines/>
      <w:keepNext/>
      <w:spacing w:before="320" w:after="200"/>
      <w:outlineLvl w:val="4"/>
    </w:pPr>
    <w:rPr>
      <w:rFonts w:ascii="Arial" w:hAnsi="Arial" w:eastAsia="Arial" w:cs="Arial"/>
      <w:b/>
      <w:bCs/>
      <w:sz w:val="24"/>
      <w:szCs w:val="24"/>
    </w:rPr>
  </w:style>
  <w:style w:type="paragraph" w:styleId="951" w:customStyle="1">
    <w:name w:val="标题 612"/>
    <w:basedOn w:val="912"/>
    <w:next w:val="912"/>
    <w:uiPriority w:val="9"/>
    <w:unhideWhenUsed/>
    <w:qFormat/>
    <w:pPr>
      <w:keepLines/>
      <w:keepNext/>
      <w:spacing w:before="320" w:after="200"/>
      <w:outlineLvl w:val="5"/>
    </w:pPr>
    <w:rPr>
      <w:rFonts w:ascii="Arial" w:hAnsi="Arial" w:eastAsia="Arial" w:cs="Arial"/>
      <w:b/>
      <w:bCs/>
      <w:sz w:val="22"/>
      <w:szCs w:val="22"/>
    </w:rPr>
  </w:style>
  <w:style w:type="paragraph" w:styleId="952" w:customStyle="1">
    <w:name w:val="标题 712"/>
    <w:basedOn w:val="912"/>
    <w:next w:val="912"/>
    <w:uiPriority w:val="9"/>
    <w:unhideWhenUsed/>
    <w:qFormat/>
    <w:pPr>
      <w:keepLines/>
      <w:keepNext/>
      <w:spacing w:before="320" w:after="200"/>
      <w:outlineLvl w:val="6"/>
    </w:pPr>
    <w:rPr>
      <w:rFonts w:ascii="Arial" w:hAnsi="Arial" w:eastAsia="Arial" w:cs="Arial"/>
      <w:b/>
      <w:bCs/>
      <w:i/>
      <w:iCs/>
      <w:sz w:val="22"/>
      <w:szCs w:val="22"/>
    </w:rPr>
  </w:style>
  <w:style w:type="paragraph" w:styleId="953" w:customStyle="1">
    <w:name w:val="标题 812"/>
    <w:basedOn w:val="912"/>
    <w:next w:val="912"/>
    <w:uiPriority w:val="9"/>
    <w:unhideWhenUsed/>
    <w:qFormat/>
    <w:pPr>
      <w:keepLines/>
      <w:keepNext/>
      <w:spacing w:before="320" w:after="200"/>
      <w:outlineLvl w:val="7"/>
    </w:pPr>
    <w:rPr>
      <w:rFonts w:ascii="Arial" w:hAnsi="Arial" w:eastAsia="Arial" w:cs="Arial"/>
      <w:i/>
      <w:iCs/>
      <w:sz w:val="22"/>
      <w:szCs w:val="22"/>
    </w:rPr>
  </w:style>
  <w:style w:type="paragraph" w:styleId="954" w:customStyle="1">
    <w:name w:val="标题 912"/>
    <w:basedOn w:val="912"/>
    <w:next w:val="912"/>
    <w:uiPriority w:val="9"/>
    <w:unhideWhenUsed/>
    <w:qFormat/>
    <w:pPr>
      <w:keepLines/>
      <w:keepNext/>
      <w:spacing w:before="320" w:after="200"/>
      <w:outlineLvl w:val="8"/>
    </w:pPr>
    <w:rPr>
      <w:rFonts w:ascii="Arial" w:hAnsi="Arial" w:eastAsia="Arial" w:cs="Arial"/>
      <w:i/>
      <w:iCs/>
      <w:sz w:val="21"/>
      <w:szCs w:val="21"/>
    </w:rPr>
  </w:style>
  <w:style w:type="character" w:styleId="955" w:customStyle="1">
    <w:name w:val="默认段落字体11"/>
    <w:uiPriority w:val="1"/>
    <w:unhideWhenUsed/>
    <w:qFormat/>
  </w:style>
  <w:style w:type="table" w:styleId="956" w:customStyle="1">
    <w:name w:val="普通表格11"/>
    <w:uiPriority w:val="99"/>
    <w:unhideWhenUsed/>
    <w:qFormat/>
    <w:tblPr>
      <w:tblCellMar>
        <w:left w:w="0" w:type="dxa"/>
        <w:top w:w="0" w:type="dxa"/>
        <w:right w:w="0" w:type="dxa"/>
        <w:bottom w:w="0" w:type="dxa"/>
      </w:tblCellMar>
    </w:tblPr>
  </w:style>
  <w:style w:type="character" w:styleId="957" w:customStyle="1">
    <w:name w:val="NormalCharacter11"/>
    <w:uiPriority w:val="0"/>
    <w:semiHidden/>
    <w:qFormat/>
  </w:style>
  <w:style w:type="paragraph" w:styleId="958" w:customStyle="1">
    <w:name w:val="正文首行缩进1"/>
    <w:basedOn w:val="959"/>
    <w:link w:val="961"/>
    <w:uiPriority w:val="0"/>
    <w:qFormat/>
    <w:pPr>
      <w:ind w:firstLine="420"/>
      <w:spacing w:after="120" w:line="240" w:lineRule="auto"/>
    </w:pPr>
    <w:rPr>
      <w:rFonts w:ascii="Calibri"/>
      <w:sz w:val="26"/>
    </w:rPr>
  </w:style>
  <w:style w:type="paragraph" w:styleId="959" w:customStyle="1">
    <w:name w:val="正文文本1"/>
    <w:basedOn w:val="912"/>
    <w:next w:val="960"/>
    <w:uiPriority w:val="0"/>
    <w:qFormat/>
    <w:pPr>
      <w:spacing w:line="400" w:lineRule="exact"/>
    </w:pPr>
    <w:rPr>
      <w:rFonts w:ascii="楷体_GB2312"/>
      <w:sz w:val="28"/>
      <w:lang w:eastAsia="en-US"/>
    </w:rPr>
  </w:style>
  <w:style w:type="paragraph" w:styleId="960" w:customStyle="1">
    <w:name w:val="纯文本1"/>
    <w:basedOn w:val="912"/>
    <w:uiPriority w:val="0"/>
    <w:qFormat/>
    <w:rPr>
      <w:rFonts w:ascii="宋体" w:hAnsi="Courier New"/>
      <w:sz w:val="28"/>
    </w:rPr>
  </w:style>
  <w:style w:type="character" w:styleId="961" w:customStyle="1">
    <w:name w:val="正文文本首行缩进 字符1"/>
    <w:link w:val="958"/>
    <w:uiPriority w:val="0"/>
    <w:qFormat/>
  </w:style>
  <w:style w:type="paragraph" w:styleId="962" w:customStyle="1">
    <w:name w:val="目录 711"/>
    <w:basedOn w:val="912"/>
    <w:next w:val="912"/>
    <w:uiPriority w:val="39"/>
    <w:unhideWhenUsed/>
    <w:qFormat/>
    <w:pPr>
      <w:ind w:left="1701"/>
      <w:spacing w:after="57"/>
    </w:pPr>
  </w:style>
  <w:style w:type="paragraph" w:styleId="963" w:customStyle="1">
    <w:name w:val="题注11"/>
    <w:basedOn w:val="912"/>
    <w:next w:val="912"/>
    <w:uiPriority w:val="35"/>
    <w:unhideWhenUsed/>
    <w:qFormat/>
    <w:pPr>
      <w:spacing w:line="276" w:lineRule="auto"/>
    </w:pPr>
    <w:rPr>
      <w:b/>
      <w:bCs/>
      <w:color w:val="4f81bd"/>
      <w:sz w:val="18"/>
      <w:szCs w:val="18"/>
    </w:rPr>
  </w:style>
  <w:style w:type="paragraph" w:styleId="964" w:customStyle="1">
    <w:name w:val="目录 511"/>
    <w:basedOn w:val="912"/>
    <w:next w:val="912"/>
    <w:uiPriority w:val="39"/>
    <w:unhideWhenUsed/>
    <w:qFormat/>
    <w:pPr>
      <w:ind w:left="1134"/>
      <w:spacing w:after="57"/>
    </w:pPr>
  </w:style>
  <w:style w:type="paragraph" w:styleId="965" w:customStyle="1">
    <w:name w:val="目录 311"/>
    <w:basedOn w:val="912"/>
    <w:next w:val="912"/>
    <w:uiPriority w:val="39"/>
    <w:unhideWhenUsed/>
    <w:qFormat/>
    <w:pPr>
      <w:ind w:left="567"/>
      <w:spacing w:after="57"/>
    </w:pPr>
  </w:style>
  <w:style w:type="paragraph" w:styleId="966" w:customStyle="1">
    <w:name w:val="纯文本21"/>
    <w:basedOn w:val="912"/>
    <w:uiPriority w:val="0"/>
    <w:qFormat/>
    <w:rPr>
      <w:rFonts w:ascii="宋体" w:hAnsi="Courier New" w:cs="Courier New"/>
    </w:rPr>
  </w:style>
  <w:style w:type="paragraph" w:styleId="967" w:customStyle="1">
    <w:name w:val="目录 811"/>
    <w:basedOn w:val="912"/>
    <w:next w:val="912"/>
    <w:uiPriority w:val="39"/>
    <w:unhideWhenUsed/>
    <w:qFormat/>
    <w:pPr>
      <w:ind w:left="1984"/>
      <w:spacing w:after="57"/>
    </w:pPr>
  </w:style>
  <w:style w:type="paragraph" w:styleId="968" w:customStyle="1">
    <w:name w:val="尾注文本11"/>
    <w:basedOn w:val="912"/>
    <w:uiPriority w:val="99"/>
    <w:unhideWhenUsed/>
    <w:qFormat/>
    <w:rPr>
      <w:sz w:val="20"/>
    </w:rPr>
  </w:style>
  <w:style w:type="paragraph" w:styleId="969" w:customStyle="1">
    <w:name w:val="页脚112"/>
    <w:basedOn w:val="912"/>
    <w:uiPriority w:val="99"/>
    <w:unhideWhenUsed/>
    <w:qFormat/>
    <w:pPr>
      <w:tabs>
        <w:tab w:val="center" w:pos="7143" w:leader="none"/>
        <w:tab w:val="right" w:pos="14287" w:leader="none"/>
      </w:tabs>
    </w:pPr>
  </w:style>
  <w:style w:type="paragraph" w:styleId="970" w:customStyle="1">
    <w:name w:val="页眉12"/>
    <w:basedOn w:val="912"/>
    <w:uiPriority w:val="99"/>
    <w:unhideWhenUsed/>
    <w:qFormat/>
    <w:pPr>
      <w:tabs>
        <w:tab w:val="center" w:pos="7143" w:leader="none"/>
        <w:tab w:val="right" w:pos="14287" w:leader="none"/>
      </w:tabs>
    </w:pPr>
  </w:style>
  <w:style w:type="paragraph" w:styleId="971" w:customStyle="1">
    <w:name w:val="目录 111"/>
    <w:basedOn w:val="912"/>
    <w:next w:val="912"/>
    <w:uiPriority w:val="39"/>
    <w:unhideWhenUsed/>
    <w:qFormat/>
    <w:pPr>
      <w:spacing w:after="57"/>
    </w:pPr>
  </w:style>
  <w:style w:type="paragraph" w:styleId="972" w:customStyle="1">
    <w:name w:val="目录 411"/>
    <w:basedOn w:val="912"/>
    <w:next w:val="912"/>
    <w:uiPriority w:val="39"/>
    <w:unhideWhenUsed/>
    <w:qFormat/>
    <w:pPr>
      <w:ind w:left="850"/>
      <w:spacing w:after="57"/>
    </w:pPr>
  </w:style>
  <w:style w:type="paragraph" w:styleId="973" w:customStyle="1">
    <w:name w:val="副标题11"/>
    <w:basedOn w:val="912"/>
    <w:next w:val="912"/>
    <w:uiPriority w:val="11"/>
    <w:qFormat/>
    <w:pPr>
      <w:spacing w:before="200" w:after="200"/>
    </w:pPr>
    <w:rPr>
      <w:sz w:val="24"/>
      <w:szCs w:val="24"/>
    </w:rPr>
  </w:style>
  <w:style w:type="paragraph" w:styleId="974" w:customStyle="1">
    <w:name w:val="脚注文本11"/>
    <w:basedOn w:val="912"/>
    <w:uiPriority w:val="99"/>
    <w:unhideWhenUsed/>
    <w:qFormat/>
    <w:pPr>
      <w:spacing w:after="40"/>
    </w:pPr>
    <w:rPr>
      <w:sz w:val="18"/>
    </w:rPr>
  </w:style>
  <w:style w:type="paragraph" w:styleId="975" w:customStyle="1">
    <w:name w:val="目录 611"/>
    <w:basedOn w:val="912"/>
    <w:next w:val="912"/>
    <w:uiPriority w:val="39"/>
    <w:unhideWhenUsed/>
    <w:qFormat/>
    <w:pPr>
      <w:ind w:left="1417"/>
      <w:spacing w:after="57"/>
    </w:pPr>
  </w:style>
  <w:style w:type="paragraph" w:styleId="976" w:customStyle="1">
    <w:name w:val="图表目录11"/>
    <w:basedOn w:val="912"/>
    <w:next w:val="912"/>
    <w:uiPriority w:val="99"/>
    <w:unhideWhenUsed/>
    <w:qFormat/>
  </w:style>
  <w:style w:type="paragraph" w:styleId="977" w:customStyle="1">
    <w:name w:val="目录 211"/>
    <w:basedOn w:val="912"/>
    <w:next w:val="912"/>
    <w:uiPriority w:val="39"/>
    <w:unhideWhenUsed/>
    <w:qFormat/>
    <w:pPr>
      <w:ind w:left="283"/>
      <w:spacing w:after="57"/>
    </w:pPr>
  </w:style>
  <w:style w:type="paragraph" w:styleId="978" w:customStyle="1">
    <w:name w:val="目录 911"/>
    <w:basedOn w:val="912"/>
    <w:next w:val="912"/>
    <w:uiPriority w:val="39"/>
    <w:unhideWhenUsed/>
    <w:qFormat/>
    <w:pPr>
      <w:ind w:left="2268"/>
      <w:spacing w:after="57"/>
    </w:pPr>
  </w:style>
  <w:style w:type="paragraph" w:styleId="979" w:customStyle="1">
    <w:name w:val="标题11"/>
    <w:basedOn w:val="912"/>
    <w:next w:val="912"/>
    <w:uiPriority w:val="10"/>
    <w:qFormat/>
    <w:pPr>
      <w:contextualSpacing/>
      <w:spacing w:before="300" w:after="200"/>
    </w:pPr>
    <w:rPr>
      <w:sz w:val="48"/>
      <w:szCs w:val="48"/>
    </w:rPr>
  </w:style>
  <w:style w:type="table" w:styleId="980" w:customStyle="1">
    <w:name w:val="网格型12"/>
    <w:uiPriority w:val="59"/>
    <w:qFormat/>
    <w:tblPr>
      <w:tblCellMar>
        <w:left w:w="0" w:type="dxa"/>
        <w:top w:w="0" w:type="dxa"/>
        <w:right w:w="0" w:type="dxa"/>
        <w:bottom w:w="0" w:type="dxa"/>
      </w:tblCellMar>
    </w:tblPr>
  </w:style>
  <w:style w:type="character" w:styleId="981" w:customStyle="1">
    <w:name w:val="尾注引用11"/>
    <w:uiPriority w:val="99"/>
    <w:unhideWhenUsed/>
    <w:qFormat/>
    <w:rPr>
      <w:vertAlign w:val="superscript"/>
    </w:rPr>
  </w:style>
  <w:style w:type="character" w:styleId="982" w:customStyle="1">
    <w:name w:val="超链接11"/>
    <w:uiPriority w:val="99"/>
    <w:unhideWhenUsed/>
    <w:qFormat/>
    <w:rPr>
      <w:color w:val="0000ff"/>
      <w:u w:val="single"/>
    </w:rPr>
  </w:style>
  <w:style w:type="character" w:styleId="983" w:customStyle="1">
    <w:name w:val="脚注引用11"/>
    <w:uiPriority w:val="99"/>
    <w:unhideWhenUsed/>
    <w:qFormat/>
    <w:rPr>
      <w:vertAlign w:val="superscript"/>
    </w:rPr>
  </w:style>
  <w:style w:type="paragraph" w:styleId="984">
    <w:name w:val="List Paragraph"/>
    <w:basedOn w:val="912"/>
    <w:uiPriority w:val="34"/>
    <w:qFormat/>
    <w:pPr>
      <w:contextualSpacing/>
      <w:ind w:left="720"/>
    </w:pPr>
  </w:style>
  <w:style w:type="paragraph" w:styleId="985">
    <w:name w:val="No Spacing"/>
    <w:uiPriority w:val="1"/>
    <w:qFormat/>
    <w:rPr>
      <w:rFonts w:ascii="Times New Roman" w:hAnsi="Times New Roman" w:eastAsia="宋体" w:cs="Times New Roman"/>
      <w:lang w:val="en-US" w:eastAsia="zh-CN" w:bidi="ar-SA"/>
    </w:rPr>
  </w:style>
  <w:style w:type="paragraph" w:styleId="986">
    <w:name w:val="Quote"/>
    <w:basedOn w:val="912"/>
    <w:next w:val="912"/>
    <w:uiPriority w:val="29"/>
    <w:qFormat/>
    <w:pPr>
      <w:ind w:left="720" w:right="720"/>
    </w:pPr>
    <w:rPr>
      <w:i/>
    </w:rPr>
  </w:style>
  <w:style w:type="paragraph" w:styleId="987">
    <w:name w:val="Intense Quote"/>
    <w:basedOn w:val="912"/>
    <w:next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88" w:customStyle="1">
    <w:name w:val="无格式表格 11"/>
    <w:uiPriority w:val="59"/>
    <w:qFormat/>
    <w:tblPr>
      <w:tblCellMar>
        <w:left w:w="0" w:type="dxa"/>
        <w:top w:w="0" w:type="dxa"/>
        <w:right w:w="0" w:type="dxa"/>
        <w:bottom w:w="0" w:type="dxa"/>
      </w:tblCellMar>
    </w:tblPr>
  </w:style>
  <w:style w:type="table" w:styleId="989" w:customStyle="1">
    <w:name w:val="无格式表格 21"/>
    <w:uiPriority w:val="59"/>
    <w:qFormat/>
    <w:tblPr>
      <w:tblCellMar>
        <w:left w:w="0" w:type="dxa"/>
        <w:top w:w="0" w:type="dxa"/>
        <w:right w:w="0" w:type="dxa"/>
        <w:bottom w:w="0" w:type="dxa"/>
      </w:tblCellMar>
    </w:tblPr>
  </w:style>
  <w:style w:type="table" w:styleId="990" w:customStyle="1">
    <w:name w:val="无格式表格 31"/>
    <w:uiPriority w:val="99"/>
    <w:qFormat/>
    <w:tblPr>
      <w:tblCellMar>
        <w:left w:w="0" w:type="dxa"/>
        <w:top w:w="0" w:type="dxa"/>
        <w:right w:w="0" w:type="dxa"/>
        <w:bottom w:w="0" w:type="dxa"/>
      </w:tblCellMar>
    </w:tblPr>
  </w:style>
  <w:style w:type="table" w:styleId="991" w:customStyle="1">
    <w:name w:val="无格式表格 41"/>
    <w:uiPriority w:val="99"/>
    <w:qFormat/>
    <w:tblPr>
      <w:tblCellMar>
        <w:left w:w="0" w:type="dxa"/>
        <w:top w:w="0" w:type="dxa"/>
        <w:right w:w="0" w:type="dxa"/>
        <w:bottom w:w="0" w:type="dxa"/>
      </w:tblCellMar>
    </w:tblPr>
  </w:style>
  <w:style w:type="table" w:styleId="992" w:customStyle="1">
    <w:name w:val="无格式表格 51"/>
    <w:uiPriority w:val="99"/>
    <w:qFormat/>
    <w:tblPr>
      <w:tblCellMar>
        <w:left w:w="0" w:type="dxa"/>
        <w:top w:w="0" w:type="dxa"/>
        <w:right w:w="0" w:type="dxa"/>
        <w:bottom w:w="0" w:type="dxa"/>
      </w:tblCellMar>
    </w:tblPr>
  </w:style>
  <w:style w:type="table" w:styleId="993" w:customStyle="1">
    <w:name w:val="网格表 1 浅色1"/>
    <w:uiPriority w:val="99"/>
    <w:qFormat/>
    <w:tblPr>
      <w:tblCellMar>
        <w:left w:w="0" w:type="dxa"/>
        <w:top w:w="0" w:type="dxa"/>
        <w:right w:w="0" w:type="dxa"/>
        <w:bottom w:w="0" w:type="dxa"/>
      </w:tblCellMar>
    </w:tblPr>
  </w:style>
  <w:style w:type="table" w:styleId="994" w:customStyle="1">
    <w:name w:val="网格表 21"/>
    <w:uiPriority w:val="99"/>
    <w:qFormat/>
    <w:tblPr>
      <w:tblCellMar>
        <w:left w:w="0" w:type="dxa"/>
        <w:top w:w="0" w:type="dxa"/>
        <w:right w:w="0" w:type="dxa"/>
        <w:bottom w:w="0" w:type="dxa"/>
      </w:tblCellMar>
    </w:tblPr>
  </w:style>
  <w:style w:type="table" w:styleId="995" w:customStyle="1">
    <w:name w:val="网格表 31"/>
    <w:uiPriority w:val="99"/>
    <w:qFormat/>
    <w:tblPr>
      <w:tblCellMar>
        <w:left w:w="0" w:type="dxa"/>
        <w:top w:w="0" w:type="dxa"/>
        <w:right w:w="0" w:type="dxa"/>
        <w:bottom w:w="0" w:type="dxa"/>
      </w:tblCellMar>
    </w:tblPr>
  </w:style>
  <w:style w:type="table" w:styleId="996" w:customStyle="1">
    <w:name w:val="网格表 41"/>
    <w:uiPriority w:val="59"/>
    <w:qFormat/>
    <w:tblPr>
      <w:tblCellMar>
        <w:left w:w="0" w:type="dxa"/>
        <w:top w:w="0" w:type="dxa"/>
        <w:right w:w="0" w:type="dxa"/>
        <w:bottom w:w="0" w:type="dxa"/>
      </w:tblCellMar>
    </w:tblPr>
  </w:style>
  <w:style w:type="table" w:styleId="997" w:customStyle="1">
    <w:name w:val="网格表 5 深色1"/>
    <w:uiPriority w:val="99"/>
    <w:qFormat/>
    <w:tblPr>
      <w:tblCellMar>
        <w:left w:w="0" w:type="dxa"/>
        <w:top w:w="0" w:type="dxa"/>
        <w:right w:w="0" w:type="dxa"/>
        <w:bottom w:w="0" w:type="dxa"/>
      </w:tblCellMar>
    </w:tblPr>
  </w:style>
  <w:style w:type="table" w:styleId="998" w:customStyle="1">
    <w:name w:val="网格表 6 彩色1"/>
    <w:uiPriority w:val="99"/>
    <w:qFormat/>
    <w:tblPr>
      <w:tblCellMar>
        <w:left w:w="0" w:type="dxa"/>
        <w:top w:w="0" w:type="dxa"/>
        <w:right w:w="0" w:type="dxa"/>
        <w:bottom w:w="0" w:type="dxa"/>
      </w:tblCellMar>
    </w:tblPr>
  </w:style>
  <w:style w:type="table" w:styleId="999" w:customStyle="1">
    <w:name w:val="网格表 7 彩色1"/>
    <w:uiPriority w:val="99"/>
    <w:qFormat/>
    <w:tblPr>
      <w:tblCellMar>
        <w:left w:w="0" w:type="dxa"/>
        <w:top w:w="0" w:type="dxa"/>
        <w:right w:w="0" w:type="dxa"/>
        <w:bottom w:w="0" w:type="dxa"/>
      </w:tblCellMar>
    </w:tblPr>
  </w:style>
  <w:style w:type="table" w:styleId="1000" w:customStyle="1">
    <w:name w:val="清单表 1 浅色1"/>
    <w:uiPriority w:val="99"/>
    <w:qFormat/>
    <w:tblPr>
      <w:tblCellMar>
        <w:left w:w="0" w:type="dxa"/>
        <w:top w:w="0" w:type="dxa"/>
        <w:right w:w="0" w:type="dxa"/>
        <w:bottom w:w="0" w:type="dxa"/>
      </w:tblCellMar>
    </w:tblPr>
  </w:style>
  <w:style w:type="table" w:styleId="1001" w:customStyle="1">
    <w:name w:val="清单表 21"/>
    <w:uiPriority w:val="99"/>
    <w:qFormat/>
    <w:tblPr>
      <w:tblCellMar>
        <w:left w:w="0" w:type="dxa"/>
        <w:top w:w="0" w:type="dxa"/>
        <w:right w:w="0" w:type="dxa"/>
        <w:bottom w:w="0" w:type="dxa"/>
      </w:tblCellMar>
    </w:tblPr>
  </w:style>
  <w:style w:type="table" w:styleId="1002" w:customStyle="1">
    <w:name w:val="清单表 31"/>
    <w:uiPriority w:val="99"/>
    <w:qFormat/>
    <w:tblPr>
      <w:tblCellMar>
        <w:left w:w="0" w:type="dxa"/>
        <w:top w:w="0" w:type="dxa"/>
        <w:right w:w="0" w:type="dxa"/>
        <w:bottom w:w="0" w:type="dxa"/>
      </w:tblCellMar>
    </w:tblPr>
  </w:style>
  <w:style w:type="table" w:styleId="1003" w:customStyle="1">
    <w:name w:val="清单表 41"/>
    <w:uiPriority w:val="99"/>
    <w:qFormat/>
    <w:tblPr>
      <w:tblCellMar>
        <w:left w:w="0" w:type="dxa"/>
        <w:top w:w="0" w:type="dxa"/>
        <w:right w:w="0" w:type="dxa"/>
        <w:bottom w:w="0" w:type="dxa"/>
      </w:tblCellMar>
    </w:tblPr>
  </w:style>
  <w:style w:type="table" w:styleId="1004" w:customStyle="1">
    <w:name w:val="清单表 5 深色1"/>
    <w:uiPriority w:val="99"/>
    <w:qFormat/>
    <w:tblPr>
      <w:tblCellMar>
        <w:left w:w="0" w:type="dxa"/>
        <w:top w:w="0" w:type="dxa"/>
        <w:right w:w="0" w:type="dxa"/>
        <w:bottom w:w="0" w:type="dxa"/>
      </w:tblCellMar>
    </w:tblPr>
  </w:style>
  <w:style w:type="table" w:styleId="1005" w:customStyle="1">
    <w:name w:val="清单表 6 彩色1"/>
    <w:uiPriority w:val="99"/>
    <w:qFormat/>
    <w:tblPr>
      <w:tblCellMar>
        <w:left w:w="0" w:type="dxa"/>
        <w:top w:w="0" w:type="dxa"/>
        <w:right w:w="0" w:type="dxa"/>
        <w:bottom w:w="0" w:type="dxa"/>
      </w:tblCellMar>
    </w:tblPr>
  </w:style>
  <w:style w:type="table" w:styleId="1006" w:customStyle="1">
    <w:name w:val="清单表 7 彩色1"/>
    <w:uiPriority w:val="99"/>
    <w:qFormat/>
    <w:tblPr>
      <w:tblCellMar>
        <w:left w:w="0" w:type="dxa"/>
        <w:top w:w="0" w:type="dxa"/>
        <w:right w:w="0" w:type="dxa"/>
        <w:bottom w:w="0" w:type="dxa"/>
      </w:tblCellMar>
    </w:tblPr>
  </w:style>
  <w:style w:type="paragraph" w:styleId="1007" w:customStyle="1">
    <w:name w:val="TOC 标题1"/>
    <w:uiPriority w:val="39"/>
    <w:unhideWhenUsed/>
    <w:qFormat/>
    <w:rPr>
      <w:rFonts w:ascii="Times New Roman" w:hAnsi="Times New Roman" w:eastAsia="宋体" w:cs="Times New Roman"/>
      <w:lang w:val="en-US" w:eastAsia="zh-CN" w:bidi="ar-SA"/>
    </w:rPr>
  </w:style>
  <w:style w:type="paragraph" w:styleId="1008" w:customStyle="1">
    <w:name w:val="标题 111"/>
    <w:basedOn w:val="912"/>
    <w:next w:val="912"/>
    <w:link w:val="1009"/>
    <w:uiPriority w:val="0"/>
    <w:qFormat/>
    <w:pPr>
      <w:keepLines/>
      <w:keepNext/>
      <w:spacing w:before="340" w:after="330" w:line="578" w:lineRule="auto"/>
      <w:outlineLvl w:val="0"/>
    </w:pPr>
    <w:rPr>
      <w:b/>
      <w:sz w:val="44"/>
    </w:rPr>
  </w:style>
  <w:style w:type="character" w:styleId="1009" w:customStyle="1">
    <w:name w:val="标题 1 字符"/>
    <w:link w:val="1008"/>
    <w:uiPriority w:val="0"/>
    <w:qFormat/>
    <w:rPr>
      <w:rFonts w:eastAsia="楷体_GB2312"/>
      <w:b/>
      <w:sz w:val="44"/>
    </w:rPr>
  </w:style>
  <w:style w:type="paragraph" w:styleId="1010" w:customStyle="1">
    <w:name w:val="标题 211"/>
    <w:basedOn w:val="912"/>
    <w:next w:val="912"/>
    <w:link w:val="1011"/>
    <w:uiPriority w:val="0"/>
    <w:qFormat/>
    <w:pPr>
      <w:jc w:val="left"/>
      <w:keepLines/>
      <w:keepNext/>
      <w:outlineLvl w:val="1"/>
    </w:pPr>
    <w:rPr>
      <w:rFonts w:ascii="宋体" w:hAnsi="宋体"/>
      <w:b/>
    </w:rPr>
  </w:style>
  <w:style w:type="character" w:styleId="1011" w:customStyle="1">
    <w:name w:val="标题 2 字符"/>
    <w:link w:val="1010"/>
    <w:uiPriority w:val="0"/>
    <w:qFormat/>
    <w:rPr>
      <w:rFonts w:ascii="宋体" w:hAnsi="宋体" w:eastAsia="楷体_GB2312"/>
      <w:b/>
      <w:sz w:val="26"/>
      <w:lang w:val="en-US" w:eastAsia="zh-CN" w:bidi="ar-SA"/>
    </w:rPr>
  </w:style>
  <w:style w:type="paragraph" w:styleId="1012" w:customStyle="1">
    <w:name w:val="标题 311"/>
    <w:basedOn w:val="912"/>
    <w:next w:val="912"/>
    <w:link w:val="1013"/>
    <w:uiPriority w:val="99"/>
    <w:qFormat/>
    <w:pPr>
      <w:jc w:val="left"/>
      <w:keepLines/>
      <w:keepNext/>
      <w:outlineLvl w:val="2"/>
    </w:pPr>
    <w:rPr>
      <w:b/>
    </w:rPr>
  </w:style>
  <w:style w:type="character" w:styleId="1013" w:customStyle="1">
    <w:name w:val="标题 3 字符"/>
    <w:link w:val="1012"/>
    <w:uiPriority w:val="99"/>
    <w:qFormat/>
    <w:rPr>
      <w:rFonts w:eastAsia="楷体_GB2312"/>
      <w:b/>
      <w:sz w:val="26"/>
    </w:rPr>
  </w:style>
  <w:style w:type="paragraph" w:styleId="1014" w:customStyle="1">
    <w:name w:val="标题 411"/>
    <w:basedOn w:val="912"/>
    <w:next w:val="912"/>
    <w:link w:val="1015"/>
    <w:uiPriority w:val="0"/>
    <w:qFormat/>
    <w:pPr>
      <w:ind w:firstLine="200"/>
      <w:keepLines/>
      <w:keepNext/>
      <w:spacing w:before="280" w:after="290" w:line="372" w:lineRule="auto"/>
      <w:outlineLvl w:val="3"/>
    </w:pPr>
    <w:rPr>
      <w:rFonts w:ascii="Arial" w:hAnsi="Arial" w:eastAsia="黑体"/>
      <w:b/>
      <w:sz w:val="28"/>
    </w:rPr>
  </w:style>
  <w:style w:type="character" w:styleId="1015" w:customStyle="1">
    <w:name w:val="标题 4 字符"/>
    <w:link w:val="1014"/>
    <w:uiPriority w:val="0"/>
    <w:qFormat/>
    <w:rPr>
      <w:rFonts w:ascii="Arial" w:hAnsi="Arial" w:eastAsia="黑体"/>
      <w:b/>
      <w:sz w:val="28"/>
    </w:rPr>
  </w:style>
  <w:style w:type="paragraph" w:styleId="1016" w:customStyle="1">
    <w:name w:val="标题 511"/>
    <w:basedOn w:val="912"/>
    <w:next w:val="1017"/>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1017" w:customStyle="1">
    <w:name w:val="正文缩进1"/>
    <w:basedOn w:val="912"/>
    <w:link w:val="1018"/>
    <w:uiPriority w:val="0"/>
    <w:qFormat/>
    <w:pPr>
      <w:ind w:firstLine="420"/>
      <w:jc w:val="left"/>
    </w:pPr>
    <w:rPr>
      <w:sz w:val="24"/>
    </w:rPr>
  </w:style>
  <w:style w:type="character" w:styleId="1018" w:customStyle="1">
    <w:name w:val="正文缩进 字符"/>
    <w:link w:val="1017"/>
    <w:uiPriority w:val="0"/>
    <w:qFormat/>
    <w:rPr>
      <w:rFonts w:eastAsia="楷体_GB2312"/>
      <w:sz w:val="24"/>
      <w:lang w:val="en-US" w:eastAsia="zh-CN" w:bidi="ar-SA"/>
    </w:rPr>
  </w:style>
  <w:style w:type="paragraph" w:styleId="1019" w:customStyle="1">
    <w:name w:val="标题 611"/>
    <w:basedOn w:val="912"/>
    <w:next w:val="1017"/>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1020" w:customStyle="1">
    <w:name w:val="标题 711"/>
    <w:basedOn w:val="912"/>
    <w:next w:val="1017"/>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1021" w:customStyle="1">
    <w:name w:val="标题 811"/>
    <w:basedOn w:val="912"/>
    <w:next w:val="1017"/>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1022" w:customStyle="1">
    <w:name w:val="标题 911"/>
    <w:basedOn w:val="912"/>
    <w:next w:val="1017"/>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1023" w:customStyle="1">
    <w:name w:val="默认段落字体1"/>
    <w:uiPriority w:val="1"/>
    <w:unhideWhenUsed/>
    <w:qFormat/>
  </w:style>
  <w:style w:type="table" w:styleId="1024" w:customStyle="1">
    <w:name w:val="普通表格1"/>
    <w:uiPriority w:val="99"/>
    <w:unhideWhenUsed/>
    <w:qFormat/>
    <w:tblPr>
      <w:tblCellMar>
        <w:left w:w="0" w:type="dxa"/>
        <w:top w:w="0" w:type="dxa"/>
        <w:right w:w="0" w:type="dxa"/>
        <w:bottom w:w="0" w:type="dxa"/>
      </w:tblCellMar>
    </w:tblPr>
  </w:style>
  <w:style w:type="paragraph" w:styleId="1025" w:customStyle="1">
    <w:name w:val="目录 71"/>
    <w:basedOn w:val="912"/>
    <w:next w:val="912"/>
    <w:uiPriority w:val="0"/>
    <w:qFormat/>
    <w:pPr>
      <w:ind w:left="2520"/>
    </w:pPr>
  </w:style>
  <w:style w:type="paragraph" w:styleId="1026" w:customStyle="1">
    <w:name w:val="索引 81"/>
    <w:basedOn w:val="912"/>
    <w:next w:val="912"/>
    <w:uiPriority w:val="0"/>
    <w:qFormat/>
    <w:pPr>
      <w:ind w:left="2940"/>
    </w:pPr>
  </w:style>
  <w:style w:type="paragraph" w:styleId="1027" w:customStyle="1">
    <w:name w:val="索引 51"/>
    <w:basedOn w:val="912"/>
    <w:next w:val="912"/>
    <w:uiPriority w:val="0"/>
    <w:qFormat/>
    <w:pPr>
      <w:ind w:left="1680"/>
    </w:pPr>
  </w:style>
  <w:style w:type="paragraph" w:styleId="1028" w:customStyle="1">
    <w:name w:val="文档结构图1"/>
    <w:basedOn w:val="912"/>
    <w:link w:val="1029"/>
    <w:uiPriority w:val="0"/>
    <w:qFormat/>
    <w:pPr>
      <w:shd w:val="clear" w:color="auto" w:fill="000080"/>
    </w:pPr>
  </w:style>
  <w:style w:type="character" w:styleId="1029" w:customStyle="1">
    <w:name w:val="文档结构图 字符"/>
    <w:link w:val="1028"/>
    <w:uiPriority w:val="0"/>
    <w:qFormat/>
    <w:rPr>
      <w:rFonts w:eastAsia="楷体_GB2312"/>
      <w:sz w:val="26"/>
      <w:shd w:val="clear" w:color="auto" w:fill="000080"/>
    </w:rPr>
  </w:style>
  <w:style w:type="paragraph" w:styleId="1030" w:customStyle="1">
    <w:name w:val="批注文字1"/>
    <w:basedOn w:val="912"/>
    <w:link w:val="1031"/>
    <w:uiPriority w:val="0"/>
    <w:qFormat/>
    <w:pPr>
      <w:jc w:val="left"/>
    </w:pPr>
  </w:style>
  <w:style w:type="character" w:styleId="1031" w:customStyle="1">
    <w:name w:val="批注文字 字符"/>
    <w:link w:val="1030"/>
    <w:uiPriority w:val="0"/>
    <w:qFormat/>
    <w:rPr>
      <w:rFonts w:eastAsia="楷体_GB2312"/>
      <w:sz w:val="26"/>
    </w:rPr>
  </w:style>
  <w:style w:type="paragraph" w:styleId="1032" w:customStyle="1">
    <w:name w:val="索引 61"/>
    <w:basedOn w:val="912"/>
    <w:next w:val="912"/>
    <w:uiPriority w:val="0"/>
    <w:qFormat/>
    <w:pPr>
      <w:ind w:left="2100"/>
    </w:pPr>
  </w:style>
  <w:style w:type="paragraph" w:styleId="1033" w:customStyle="1">
    <w:name w:val="正文文本11"/>
    <w:basedOn w:val="912"/>
    <w:link w:val="1034"/>
    <w:uiPriority w:val="0"/>
    <w:qFormat/>
    <w:pPr>
      <w:spacing w:line="400" w:lineRule="exact"/>
    </w:pPr>
    <w:rPr>
      <w:rFonts w:ascii="楷体_GB2312"/>
      <w:sz w:val="28"/>
    </w:rPr>
  </w:style>
  <w:style w:type="character" w:styleId="1034" w:customStyle="1">
    <w:name w:val="正文文本 字符2"/>
    <w:link w:val="1033"/>
    <w:uiPriority w:val="0"/>
    <w:qFormat/>
    <w:rPr>
      <w:rFonts w:ascii="楷体_GB2312" w:eastAsia="楷体_GB2312"/>
      <w:sz w:val="28"/>
    </w:rPr>
  </w:style>
  <w:style w:type="paragraph" w:styleId="1035" w:customStyle="1">
    <w:name w:val="正文文本缩进11"/>
    <w:basedOn w:val="912"/>
    <w:link w:val="1036"/>
    <w:uiPriority w:val="0"/>
    <w:qFormat/>
    <w:pPr>
      <w:ind w:left="570"/>
      <w:spacing w:line="520" w:lineRule="exact"/>
    </w:pPr>
    <w:rPr>
      <w:rFonts w:hint="eastAsia" w:ascii="楷体_GB2312"/>
    </w:rPr>
  </w:style>
  <w:style w:type="character" w:styleId="1036" w:customStyle="1">
    <w:name w:val="正文文本缩进 字符"/>
    <w:link w:val="1035"/>
    <w:uiPriority w:val="0"/>
    <w:qFormat/>
    <w:rPr>
      <w:rFonts w:hint="eastAsia" w:ascii="楷体_GB2312" w:eastAsia="楷体_GB2312" w:cs="楷体_GB2312"/>
      <w:sz w:val="26"/>
    </w:rPr>
  </w:style>
  <w:style w:type="paragraph" w:styleId="1037" w:customStyle="1">
    <w:name w:val="索引 41"/>
    <w:basedOn w:val="912"/>
    <w:next w:val="912"/>
    <w:uiPriority w:val="0"/>
    <w:qFormat/>
    <w:pPr>
      <w:ind w:left="1260"/>
    </w:pPr>
  </w:style>
  <w:style w:type="paragraph" w:styleId="1038" w:customStyle="1">
    <w:name w:val="目录 51"/>
    <w:basedOn w:val="912"/>
    <w:next w:val="912"/>
    <w:uiPriority w:val="0"/>
    <w:qFormat/>
    <w:pPr>
      <w:ind w:left="1680"/>
    </w:pPr>
  </w:style>
  <w:style w:type="paragraph" w:styleId="1039" w:customStyle="1">
    <w:name w:val="目录 31"/>
    <w:basedOn w:val="912"/>
    <w:next w:val="912"/>
    <w:link w:val="1040"/>
    <w:uiPriority w:val="0"/>
    <w:qFormat/>
    <w:pPr>
      <w:ind w:left="840"/>
    </w:pPr>
  </w:style>
  <w:style w:type="character" w:styleId="1040" w:customStyle="1">
    <w:name w:val="TOC 3 字符"/>
    <w:link w:val="1039"/>
    <w:uiPriority w:val="0"/>
    <w:qFormat/>
    <w:rPr>
      <w:rFonts w:eastAsia="楷体_GB2312"/>
      <w:sz w:val="26"/>
    </w:rPr>
  </w:style>
  <w:style w:type="paragraph" w:styleId="1041" w:customStyle="1">
    <w:name w:val="纯文本11"/>
    <w:basedOn w:val="912"/>
    <w:link w:val="1042"/>
    <w:uiPriority w:val="0"/>
    <w:qFormat/>
    <w:rPr>
      <w:rFonts w:ascii="宋体" w:hAnsi="Courier New"/>
    </w:rPr>
  </w:style>
  <w:style w:type="character" w:styleId="1042" w:customStyle="1">
    <w:name w:val="纯文本 字符1"/>
    <w:link w:val="1041"/>
    <w:uiPriority w:val="0"/>
    <w:qFormat/>
    <w:rPr>
      <w:rFonts w:ascii="宋体" w:hAnsi="Courier New" w:eastAsia="楷体_GB2312"/>
      <w:sz w:val="26"/>
      <w:lang w:val="en-US" w:eastAsia="zh-CN" w:bidi="ar-SA"/>
    </w:rPr>
  </w:style>
  <w:style w:type="paragraph" w:styleId="1043" w:customStyle="1">
    <w:name w:val="目录 81"/>
    <w:basedOn w:val="912"/>
    <w:next w:val="912"/>
    <w:uiPriority w:val="0"/>
    <w:qFormat/>
    <w:pPr>
      <w:ind w:left="2940"/>
    </w:pPr>
  </w:style>
  <w:style w:type="paragraph" w:styleId="1044" w:customStyle="1">
    <w:name w:val="索引 31"/>
    <w:basedOn w:val="912"/>
    <w:next w:val="912"/>
    <w:uiPriority w:val="0"/>
    <w:qFormat/>
    <w:pPr>
      <w:ind w:left="840"/>
    </w:pPr>
  </w:style>
  <w:style w:type="paragraph" w:styleId="1045" w:customStyle="1">
    <w:name w:val="日期1"/>
    <w:basedOn w:val="912"/>
    <w:next w:val="912"/>
    <w:link w:val="1046"/>
    <w:uiPriority w:val="0"/>
    <w:qFormat/>
    <w:rPr>
      <w:rFonts w:ascii="宋体" w:hAnsi="宋体"/>
      <w:sz w:val="24"/>
    </w:rPr>
  </w:style>
  <w:style w:type="character" w:styleId="1046" w:customStyle="1">
    <w:name w:val="日期 字符"/>
    <w:link w:val="1045"/>
    <w:uiPriority w:val="0"/>
    <w:qFormat/>
    <w:rPr>
      <w:rFonts w:ascii="宋体" w:hAnsi="宋体" w:eastAsia="楷体_GB2312"/>
      <w:sz w:val="24"/>
    </w:rPr>
  </w:style>
  <w:style w:type="paragraph" w:styleId="1047" w:customStyle="1">
    <w:name w:val="正文文本缩进 21"/>
    <w:basedOn w:val="912"/>
    <w:uiPriority w:val="0"/>
    <w:qFormat/>
    <w:pPr>
      <w:ind w:firstLine="502"/>
      <w:spacing w:line="360" w:lineRule="auto"/>
      <w:tabs>
        <w:tab w:val="left" w:pos="0" w:leader="none"/>
      </w:tabs>
    </w:pPr>
    <w:rPr>
      <w:rFonts w:ascii="宋体" w:eastAsia="宋体"/>
      <w:b/>
      <w:bCs/>
      <w:sz w:val="24"/>
    </w:rPr>
  </w:style>
  <w:style w:type="paragraph" w:styleId="1048" w:customStyle="1">
    <w:name w:val="尾注文本1"/>
    <w:basedOn w:val="912"/>
    <w:link w:val="1049"/>
    <w:uiPriority w:val="99"/>
    <w:unhideWhenUsed/>
    <w:qFormat/>
    <w:rPr>
      <w:rFonts w:eastAsia="宋体"/>
      <w:sz w:val="20"/>
    </w:rPr>
  </w:style>
  <w:style w:type="character" w:styleId="1049" w:customStyle="1">
    <w:name w:val="尾注文本 字符"/>
    <w:link w:val="1048"/>
    <w:uiPriority w:val="99"/>
    <w:qFormat/>
    <w:rPr>
      <w:sz w:val="20"/>
    </w:rPr>
  </w:style>
  <w:style w:type="paragraph" w:styleId="1050" w:customStyle="1">
    <w:name w:val="批注框文本1"/>
    <w:basedOn w:val="912"/>
    <w:link w:val="1051"/>
    <w:uiPriority w:val="0"/>
    <w:qFormat/>
    <w:rPr>
      <w:sz w:val="18"/>
      <w:szCs w:val="18"/>
    </w:rPr>
  </w:style>
  <w:style w:type="character" w:styleId="1051" w:customStyle="1">
    <w:name w:val="批注框文本 字符"/>
    <w:link w:val="1050"/>
    <w:uiPriority w:val="0"/>
    <w:qFormat/>
    <w:rPr>
      <w:rFonts w:eastAsia="楷体_GB2312"/>
      <w:sz w:val="18"/>
      <w:szCs w:val="18"/>
    </w:rPr>
  </w:style>
  <w:style w:type="paragraph" w:styleId="1052" w:customStyle="1">
    <w:name w:val="页脚111"/>
    <w:basedOn w:val="912"/>
    <w:link w:val="1053"/>
    <w:uiPriority w:val="99"/>
    <w:qFormat/>
    <w:pPr>
      <w:jc w:val="left"/>
      <w:tabs>
        <w:tab w:val="center" w:pos="4153" w:leader="none"/>
        <w:tab w:val="right" w:pos="8306" w:leader="none"/>
      </w:tabs>
    </w:pPr>
    <w:rPr>
      <w:sz w:val="18"/>
    </w:rPr>
  </w:style>
  <w:style w:type="character" w:styleId="1053" w:customStyle="1">
    <w:name w:val="页脚 字符1"/>
    <w:link w:val="1052"/>
    <w:uiPriority w:val="99"/>
    <w:qFormat/>
    <w:rPr>
      <w:rFonts w:eastAsia="楷体_GB2312"/>
      <w:sz w:val="18"/>
    </w:rPr>
  </w:style>
  <w:style w:type="paragraph" w:styleId="1054" w:customStyle="1">
    <w:name w:val="寄信人地址11"/>
    <w:basedOn w:val="912"/>
    <w:uiPriority w:val="99"/>
    <w:unhideWhenUsed/>
    <w:qFormat/>
    <w:rPr>
      <w:rFonts w:ascii="Arial" w:hAnsi="Arial"/>
    </w:rPr>
  </w:style>
  <w:style w:type="paragraph" w:styleId="1055" w:customStyle="1">
    <w:name w:val="页眉11"/>
    <w:basedOn w:val="912"/>
    <w:link w:val="1056"/>
    <w:uiPriority w:val="99"/>
    <w:qFormat/>
    <w:pPr>
      <w:jc w:val="center"/>
      <w:tabs>
        <w:tab w:val="center" w:pos="4153" w:leader="none"/>
        <w:tab w:val="right" w:pos="8306" w:leader="none"/>
      </w:tabs>
      <w:pBdr>
        <w:bottom w:val="single" w:color="000000" w:sz="6" w:space="1"/>
      </w:pBdr>
    </w:pPr>
    <w:rPr>
      <w:sz w:val="18"/>
    </w:rPr>
  </w:style>
  <w:style w:type="character" w:styleId="1056" w:customStyle="1">
    <w:name w:val="页眉 字符1"/>
    <w:link w:val="1055"/>
    <w:uiPriority w:val="99"/>
    <w:qFormat/>
    <w:rPr>
      <w:rFonts w:eastAsia="楷体_GB2312"/>
      <w:sz w:val="18"/>
    </w:rPr>
  </w:style>
  <w:style w:type="paragraph" w:styleId="1057" w:customStyle="1">
    <w:name w:val="签名1"/>
    <w:basedOn w:val="912"/>
    <w:uiPriority w:val="0"/>
    <w:qFormat/>
    <w:pPr>
      <w:jc w:val="center"/>
      <w:spacing w:after="600" w:line="312" w:lineRule="atLeast"/>
    </w:pPr>
    <w:rPr>
      <w:rFonts w:eastAsia="仿宋_GB2312"/>
      <w:sz w:val="24"/>
    </w:rPr>
  </w:style>
  <w:style w:type="paragraph" w:styleId="1058" w:customStyle="1">
    <w:name w:val="目录 11"/>
    <w:basedOn w:val="912"/>
    <w:next w:val="912"/>
    <w:uiPriority w:val="0"/>
    <w:qFormat/>
    <w:pPr>
      <w:jc w:val="left"/>
    </w:pPr>
    <w:rPr>
      <w:sz w:val="24"/>
    </w:rPr>
  </w:style>
  <w:style w:type="paragraph" w:styleId="1059" w:customStyle="1">
    <w:name w:val="目录 41"/>
    <w:basedOn w:val="912"/>
    <w:next w:val="912"/>
    <w:uiPriority w:val="0"/>
    <w:qFormat/>
    <w:pPr>
      <w:ind w:left="1260"/>
    </w:pPr>
  </w:style>
  <w:style w:type="paragraph" w:styleId="1060" w:customStyle="1">
    <w:name w:val="索引标题1"/>
    <w:basedOn w:val="912"/>
    <w:next w:val="1061"/>
    <w:uiPriority w:val="0"/>
    <w:qFormat/>
  </w:style>
  <w:style w:type="paragraph" w:styleId="1061" w:customStyle="1">
    <w:name w:val="索引 11"/>
    <w:basedOn w:val="912"/>
    <w:next w:val="912"/>
    <w:uiPriority w:val="0"/>
    <w:qFormat/>
  </w:style>
  <w:style w:type="paragraph" w:styleId="1062" w:customStyle="1">
    <w:name w:val="副标题1"/>
    <w:basedOn w:val="912"/>
    <w:next w:val="912"/>
    <w:link w:val="1063"/>
    <w:uiPriority w:val="11"/>
    <w:qFormat/>
    <w:pPr>
      <w:spacing w:before="200" w:after="200"/>
    </w:pPr>
    <w:rPr>
      <w:rFonts w:eastAsia="宋体"/>
      <w:sz w:val="24"/>
      <w:szCs w:val="24"/>
    </w:rPr>
  </w:style>
  <w:style w:type="character" w:styleId="1063" w:customStyle="1">
    <w:name w:val="副标题 字符"/>
    <w:link w:val="1062"/>
    <w:uiPriority w:val="11"/>
    <w:qFormat/>
    <w:rPr>
      <w:sz w:val="24"/>
      <w:szCs w:val="24"/>
    </w:rPr>
  </w:style>
  <w:style w:type="paragraph" w:styleId="1064" w:customStyle="1">
    <w:name w:val="脚注文本1"/>
    <w:basedOn w:val="912"/>
    <w:link w:val="1065"/>
    <w:uiPriority w:val="99"/>
    <w:qFormat/>
    <w:pPr>
      <w:jc w:val="left"/>
    </w:pPr>
    <w:rPr>
      <w:rFonts w:eastAsia="宋体"/>
      <w:sz w:val="18"/>
    </w:rPr>
  </w:style>
  <w:style w:type="character" w:styleId="1065" w:customStyle="1">
    <w:name w:val="脚注文本 字符"/>
    <w:link w:val="1064"/>
    <w:uiPriority w:val="99"/>
    <w:qFormat/>
    <w:rPr>
      <w:sz w:val="18"/>
    </w:rPr>
  </w:style>
  <w:style w:type="paragraph" w:styleId="1066" w:customStyle="1">
    <w:name w:val="目录 61"/>
    <w:basedOn w:val="912"/>
    <w:next w:val="912"/>
    <w:uiPriority w:val="0"/>
    <w:qFormat/>
    <w:pPr>
      <w:ind w:left="2100"/>
    </w:pPr>
  </w:style>
  <w:style w:type="paragraph" w:styleId="1067" w:customStyle="1">
    <w:name w:val="正文文本缩进 31"/>
    <w:basedOn w:val="912"/>
    <w:uiPriority w:val="0"/>
    <w:qFormat/>
    <w:pPr>
      <w:ind w:firstLine="617"/>
      <w:spacing w:line="360" w:lineRule="auto"/>
    </w:pPr>
    <w:rPr>
      <w:rFonts w:eastAsia="宋体"/>
      <w:sz w:val="24"/>
      <w:szCs w:val="24"/>
    </w:rPr>
  </w:style>
  <w:style w:type="paragraph" w:styleId="1068" w:customStyle="1">
    <w:name w:val="索引 71"/>
    <w:basedOn w:val="912"/>
    <w:next w:val="912"/>
    <w:uiPriority w:val="0"/>
    <w:qFormat/>
    <w:pPr>
      <w:ind w:left="2520"/>
    </w:pPr>
  </w:style>
  <w:style w:type="paragraph" w:styleId="1069" w:customStyle="1">
    <w:name w:val="索引 91"/>
    <w:basedOn w:val="912"/>
    <w:next w:val="912"/>
    <w:uiPriority w:val="0"/>
    <w:qFormat/>
    <w:pPr>
      <w:ind w:left="3360"/>
    </w:pPr>
  </w:style>
  <w:style w:type="paragraph" w:styleId="1070" w:customStyle="1">
    <w:name w:val="图表目录1"/>
    <w:basedOn w:val="912"/>
    <w:next w:val="912"/>
    <w:uiPriority w:val="0"/>
    <w:qFormat/>
    <w:pPr>
      <w:ind w:left="420" w:hanging="420"/>
      <w:jc w:val="left"/>
    </w:pPr>
    <w:rPr>
      <w:smallCaps/>
      <w:sz w:val="24"/>
    </w:rPr>
  </w:style>
  <w:style w:type="paragraph" w:styleId="1071" w:customStyle="1">
    <w:name w:val="目录 21"/>
    <w:basedOn w:val="912"/>
    <w:next w:val="912"/>
    <w:uiPriority w:val="0"/>
    <w:qFormat/>
    <w:pPr>
      <w:ind w:left="420"/>
    </w:pPr>
  </w:style>
  <w:style w:type="paragraph" w:styleId="1072" w:customStyle="1">
    <w:name w:val="目录 91"/>
    <w:basedOn w:val="912"/>
    <w:next w:val="912"/>
    <w:uiPriority w:val="0"/>
    <w:qFormat/>
    <w:pPr>
      <w:ind w:left="3360"/>
    </w:pPr>
  </w:style>
  <w:style w:type="paragraph" w:styleId="1073" w:customStyle="1">
    <w:name w:val="HTML 预设格式1"/>
    <w:basedOn w:val="9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74" w:customStyle="1">
    <w:name w:val="普通(网站)1"/>
    <w:basedOn w:val="912"/>
    <w:link w:val="1075"/>
    <w:uiPriority w:val="0"/>
    <w:qFormat/>
    <w:pPr>
      <w:jc w:val="left"/>
      <w:spacing w:line="360" w:lineRule="auto"/>
      <w:shd w:val="clear" w:color="auto" w:fill="ffffff"/>
    </w:pPr>
    <w:rPr>
      <w:sz w:val="24"/>
      <w:szCs w:val="24"/>
    </w:rPr>
  </w:style>
  <w:style w:type="character" w:styleId="1075" w:customStyle="1">
    <w:name w:val="普通(网站) 字符"/>
    <w:link w:val="1074"/>
    <w:uiPriority w:val="0"/>
    <w:qFormat/>
    <w:rPr>
      <w:rFonts w:eastAsia="楷体_GB2312"/>
      <w:sz w:val="24"/>
      <w:szCs w:val="24"/>
      <w:shd w:val="clear" w:color="auto" w:fill="ffffff"/>
    </w:rPr>
  </w:style>
  <w:style w:type="paragraph" w:styleId="1076" w:customStyle="1">
    <w:name w:val="索引 21"/>
    <w:basedOn w:val="912"/>
    <w:next w:val="912"/>
    <w:uiPriority w:val="0"/>
    <w:qFormat/>
    <w:pPr>
      <w:ind w:left="420"/>
    </w:pPr>
  </w:style>
  <w:style w:type="paragraph" w:styleId="1077" w:customStyle="1">
    <w:name w:val="标题1"/>
    <w:basedOn w:val="912"/>
    <w:next w:val="912"/>
    <w:link w:val="1078"/>
    <w:uiPriority w:val="10"/>
    <w:qFormat/>
    <w:pPr>
      <w:contextualSpacing/>
      <w:spacing w:before="300" w:after="200"/>
    </w:pPr>
    <w:rPr>
      <w:rFonts w:eastAsia="宋体"/>
      <w:sz w:val="48"/>
      <w:szCs w:val="48"/>
    </w:rPr>
  </w:style>
  <w:style w:type="character" w:styleId="1078" w:customStyle="1">
    <w:name w:val="标题 字符"/>
    <w:link w:val="1077"/>
    <w:uiPriority w:val="10"/>
    <w:qFormat/>
    <w:rPr>
      <w:sz w:val="48"/>
      <w:szCs w:val="48"/>
    </w:rPr>
  </w:style>
  <w:style w:type="paragraph" w:styleId="1079" w:customStyle="1">
    <w:name w:val="批注主题1"/>
    <w:basedOn w:val="1030"/>
    <w:next w:val="1030"/>
    <w:uiPriority w:val="0"/>
    <w:qFormat/>
    <w:rPr>
      <w:b/>
      <w:bCs/>
    </w:rPr>
  </w:style>
  <w:style w:type="paragraph" w:styleId="1080" w:customStyle="1">
    <w:name w:val="正文首行缩进 211"/>
    <w:basedOn w:val="1035"/>
    <w:link w:val="1081"/>
    <w:uiPriority w:val="0"/>
    <w:unhideWhenUsed/>
    <w:qFormat/>
    <w:pPr>
      <w:ind w:firstLine="420"/>
    </w:pPr>
  </w:style>
  <w:style w:type="character" w:styleId="1081" w:customStyle="1">
    <w:name w:val="正文文本首行缩进 2 字符"/>
    <w:link w:val="1080"/>
    <w:uiPriority w:val="0"/>
    <w:qFormat/>
    <w:rPr>
      <w:rFonts w:hint="eastAsia" w:ascii="楷体_GB2312" w:eastAsia="楷体_GB2312" w:cs="楷体_GB2312"/>
      <w:sz w:val="26"/>
    </w:rPr>
  </w:style>
  <w:style w:type="table" w:styleId="1082" w:customStyle="1">
    <w:name w:val="网格型11"/>
    <w:basedOn w:val="1024"/>
    <w:uiPriority w:val="0"/>
    <w:qFormat/>
    <w:pPr>
      <w:jc w:val="both"/>
      <w:widowControl w:val="off"/>
    </w:pPr>
    <w:tblPr/>
  </w:style>
  <w:style w:type="character" w:styleId="1083" w:customStyle="1">
    <w:name w:val="要点1"/>
    <w:uiPriority w:val="22"/>
    <w:qFormat/>
    <w:rPr>
      <w:b/>
    </w:rPr>
  </w:style>
  <w:style w:type="character" w:styleId="1084" w:customStyle="1">
    <w:name w:val="尾注引用1"/>
    <w:uiPriority w:val="99"/>
    <w:unhideWhenUsed/>
    <w:qFormat/>
    <w:rPr>
      <w:vertAlign w:val="superscript"/>
    </w:rPr>
  </w:style>
  <w:style w:type="character" w:styleId="1085" w:customStyle="1">
    <w:name w:val="页码1"/>
    <w:uiPriority w:val="0"/>
    <w:qFormat/>
  </w:style>
  <w:style w:type="character" w:styleId="1086" w:customStyle="1">
    <w:name w:val="已访问的超链接1"/>
    <w:uiPriority w:val="99"/>
    <w:qFormat/>
    <w:rPr>
      <w:color w:val="333333"/>
      <w:u w:val="none"/>
    </w:rPr>
  </w:style>
  <w:style w:type="character" w:styleId="1087" w:customStyle="1">
    <w:name w:val="强调1"/>
    <w:uiPriority w:val="0"/>
    <w:qFormat/>
    <w:rPr>
      <w:i/>
      <w:iCs/>
    </w:rPr>
  </w:style>
  <w:style w:type="character" w:styleId="1088" w:customStyle="1">
    <w:name w:val="行号1"/>
    <w:uiPriority w:val="0"/>
    <w:qFormat/>
  </w:style>
  <w:style w:type="character" w:styleId="1089" w:customStyle="1">
    <w:name w:val="HTML 定义1"/>
    <w:uiPriority w:val="0"/>
    <w:qFormat/>
    <w:rPr>
      <w:i/>
    </w:rPr>
  </w:style>
  <w:style w:type="character" w:styleId="1090" w:customStyle="1">
    <w:name w:val="超链接1"/>
    <w:uiPriority w:val="99"/>
    <w:qFormat/>
    <w:rPr>
      <w:color w:val="333333"/>
      <w:u w:val="none"/>
    </w:rPr>
  </w:style>
  <w:style w:type="character" w:styleId="1091" w:customStyle="1">
    <w:name w:val="HTML 代码1"/>
    <w:uiPriority w:val="0"/>
    <w:qFormat/>
    <w:rPr>
      <w:rFonts w:ascii="Menlo" w:hAnsi="Menlo" w:eastAsia="Menlo" w:cs="Menlo"/>
      <w:color w:val="c7254e"/>
      <w:sz w:val="21"/>
      <w:szCs w:val="21"/>
      <w:shd w:val="clear" w:color="auto" w:fill="f9f2f4"/>
    </w:rPr>
  </w:style>
  <w:style w:type="character" w:styleId="1092" w:customStyle="1">
    <w:name w:val="批注引用1"/>
    <w:uiPriority w:val="0"/>
    <w:qFormat/>
    <w:rPr>
      <w:sz w:val="21"/>
      <w:szCs w:val="21"/>
    </w:rPr>
  </w:style>
  <w:style w:type="character" w:styleId="1093" w:customStyle="1">
    <w:name w:val="HTML 引文1"/>
    <w:uiPriority w:val="0"/>
    <w:qFormat/>
  </w:style>
  <w:style w:type="character" w:styleId="1094" w:customStyle="1">
    <w:name w:val="脚注引用1"/>
    <w:uiPriority w:val="0"/>
    <w:qFormat/>
    <w:rPr>
      <w:vertAlign w:val="superscript"/>
    </w:rPr>
  </w:style>
  <w:style w:type="character" w:styleId="1095" w:customStyle="1">
    <w:name w:val="HTML 键盘1"/>
    <w:uiPriority w:val="0"/>
    <w:qFormat/>
    <w:rPr>
      <w:rFonts w:ascii="Menlo" w:hAnsi="Menlo" w:eastAsia="Menlo" w:cs="Menlo"/>
      <w:sz w:val="21"/>
      <w:szCs w:val="21"/>
    </w:rPr>
  </w:style>
  <w:style w:type="character" w:styleId="1096" w:customStyle="1">
    <w:name w:val="HTML 样本1"/>
    <w:uiPriority w:val="0"/>
    <w:qFormat/>
    <w:rPr>
      <w:rFonts w:ascii="Menlo" w:hAnsi="Menlo" w:eastAsia="Menlo" w:cs="Menlo"/>
      <w:sz w:val="21"/>
      <w:szCs w:val="21"/>
    </w:rPr>
  </w:style>
  <w:style w:type="paragraph" w:styleId="1097" w:customStyle="1">
    <w:name w:val="段"/>
    <w:basedOn w:val="912"/>
    <w:next w:val="912"/>
    <w:uiPriority w:val="0"/>
    <w:qFormat/>
    <w:pPr>
      <w:ind w:firstLine="200"/>
      <w:spacing w:line="360" w:lineRule="auto"/>
      <w:widowControl/>
    </w:pPr>
    <w:rPr>
      <w:rFonts w:ascii="宋体" w:hAnsi="宋体" w:eastAsia="宋体" w:cs="宋体"/>
      <w:sz w:val="24"/>
      <w:szCs w:val="24"/>
    </w:rPr>
  </w:style>
  <w:style w:type="paragraph" w:styleId="1098" w:customStyle="1">
    <w:name w:val="首行缩进"/>
    <w:basedOn w:val="912"/>
    <w:uiPriority w:val="0"/>
    <w:qFormat/>
    <w:pPr>
      <w:ind w:firstLine="480"/>
    </w:pPr>
    <w:rPr>
      <w:lang w:val="zh-CN"/>
    </w:rPr>
  </w:style>
  <w:style w:type="character" w:styleId="1099" w:customStyle="1">
    <w:name w:val="Title Char"/>
    <w:uiPriority w:val="10"/>
    <w:qFormat/>
    <w:rPr>
      <w:sz w:val="48"/>
      <w:szCs w:val="48"/>
    </w:rPr>
  </w:style>
  <w:style w:type="character" w:styleId="1100" w:customStyle="1">
    <w:name w:val="Subtitle Char"/>
    <w:uiPriority w:val="11"/>
    <w:qFormat/>
    <w:rPr>
      <w:sz w:val="24"/>
      <w:szCs w:val="24"/>
    </w:rPr>
  </w:style>
  <w:style w:type="character" w:styleId="1101" w:customStyle="1">
    <w:name w:val="Quote Char"/>
    <w:uiPriority w:val="29"/>
    <w:qFormat/>
    <w:rPr>
      <w:i/>
    </w:rPr>
  </w:style>
  <w:style w:type="character" w:styleId="1102" w:customStyle="1">
    <w:name w:val="Intense Quote Char"/>
    <w:uiPriority w:val="30"/>
    <w:qFormat/>
    <w:rPr>
      <w:i/>
    </w:rPr>
  </w:style>
  <w:style w:type="character" w:styleId="1103" w:customStyle="1">
    <w:name w:val="Footnote Text Char"/>
    <w:uiPriority w:val="99"/>
    <w:qFormat/>
    <w:rPr>
      <w:sz w:val="18"/>
    </w:rPr>
  </w:style>
  <w:style w:type="character" w:styleId="1104" w:customStyle="1">
    <w:name w:val="Endnote Text Char"/>
    <w:uiPriority w:val="99"/>
    <w:qFormat/>
    <w:rPr>
      <w:sz w:val="20"/>
    </w:rPr>
  </w:style>
  <w:style w:type="paragraph" w:styleId="1105" w:customStyle="1">
    <w:name w:val="TOC 标题111"/>
    <w:uiPriority w:val="39"/>
    <w:unhideWhenUsed/>
    <w:qFormat/>
    <w:rPr>
      <w:rFonts w:ascii="Times New Roman" w:hAnsi="Times New Roman" w:eastAsia="宋体" w:cs="Times New Roman"/>
      <w:lang w:val="en-US" w:eastAsia="zh-CN" w:bidi="ar-SA"/>
    </w:rPr>
  </w:style>
  <w:style w:type="paragraph" w:styleId="1106" w:customStyle="1">
    <w:name w:val="正文首行缩进 21"/>
    <w:basedOn w:val="1107"/>
    <w:next w:val="912"/>
    <w:uiPriority w:val="0"/>
    <w:unhideWhenUsed/>
    <w:qFormat/>
    <w:pPr>
      <w:ind w:firstLine="420"/>
    </w:pPr>
  </w:style>
  <w:style w:type="paragraph" w:styleId="1107" w:customStyle="1">
    <w:name w:val="正文文本缩进1"/>
    <w:basedOn w:val="912"/>
    <w:next w:val="1108"/>
    <w:uiPriority w:val="0"/>
    <w:unhideWhenUsed/>
    <w:qFormat/>
    <w:pPr>
      <w:ind w:left="420"/>
      <w:spacing w:after="120"/>
    </w:pPr>
    <w:rPr>
      <w:lang w:eastAsia="en-US"/>
    </w:rPr>
  </w:style>
  <w:style w:type="paragraph" w:styleId="1108" w:customStyle="1">
    <w:name w:val="寄信人地址1"/>
    <w:basedOn w:val="912"/>
    <w:uiPriority w:val="99"/>
    <w:unhideWhenUsed/>
    <w:qFormat/>
    <w:rPr>
      <w:rFonts w:ascii="Arial" w:hAnsi="Arial"/>
    </w:rPr>
  </w:style>
  <w:style w:type="paragraph" w:styleId="1109" w:customStyle="1">
    <w:name w:val="标题 11"/>
    <w:basedOn w:val="912"/>
    <w:next w:val="912"/>
    <w:link w:val="1110"/>
    <w:uiPriority w:val="9"/>
    <w:qFormat/>
    <w:pPr>
      <w:keepLines/>
      <w:keepNext/>
      <w:spacing w:before="480" w:after="200"/>
      <w:outlineLvl w:val="0"/>
    </w:pPr>
    <w:rPr>
      <w:rFonts w:ascii="Arial" w:hAnsi="Arial" w:eastAsia="Arial"/>
      <w:sz w:val="40"/>
      <w:szCs w:val="40"/>
    </w:rPr>
  </w:style>
  <w:style w:type="character" w:styleId="1110" w:customStyle="1">
    <w:name w:val="Heading 1 Char"/>
    <w:link w:val="1109"/>
    <w:uiPriority w:val="9"/>
    <w:qFormat/>
    <w:rPr>
      <w:rFonts w:ascii="Arial" w:hAnsi="Arial" w:eastAsia="Arial" w:cs="Arial"/>
      <w:sz w:val="40"/>
      <w:szCs w:val="40"/>
    </w:rPr>
  </w:style>
  <w:style w:type="paragraph" w:styleId="1111" w:customStyle="1">
    <w:name w:val="标题 21"/>
    <w:basedOn w:val="912"/>
    <w:next w:val="912"/>
    <w:link w:val="1112"/>
    <w:uiPriority w:val="9"/>
    <w:unhideWhenUsed/>
    <w:qFormat/>
    <w:pPr>
      <w:keepLines/>
      <w:keepNext/>
      <w:spacing w:before="360" w:after="200"/>
      <w:outlineLvl w:val="1"/>
    </w:pPr>
    <w:rPr>
      <w:rFonts w:ascii="Arial" w:hAnsi="Arial" w:eastAsia="Arial"/>
      <w:sz w:val="34"/>
    </w:rPr>
  </w:style>
  <w:style w:type="character" w:styleId="1112" w:customStyle="1">
    <w:name w:val="Heading 2 Char"/>
    <w:link w:val="1111"/>
    <w:uiPriority w:val="9"/>
    <w:qFormat/>
    <w:rPr>
      <w:rFonts w:ascii="Arial" w:hAnsi="Arial" w:eastAsia="Arial" w:cs="Arial"/>
      <w:sz w:val="34"/>
    </w:rPr>
  </w:style>
  <w:style w:type="paragraph" w:styleId="1113" w:customStyle="1">
    <w:name w:val="标题 31"/>
    <w:basedOn w:val="912"/>
    <w:next w:val="912"/>
    <w:link w:val="1114"/>
    <w:uiPriority w:val="9"/>
    <w:unhideWhenUsed/>
    <w:qFormat/>
    <w:pPr>
      <w:keepLines/>
      <w:keepNext/>
      <w:spacing w:before="320" w:after="200"/>
      <w:outlineLvl w:val="2"/>
    </w:pPr>
    <w:rPr>
      <w:rFonts w:ascii="Arial" w:hAnsi="Arial" w:eastAsia="Arial"/>
      <w:sz w:val="30"/>
      <w:szCs w:val="30"/>
    </w:rPr>
  </w:style>
  <w:style w:type="character" w:styleId="1114" w:customStyle="1">
    <w:name w:val="Heading 3 Char"/>
    <w:link w:val="1113"/>
    <w:uiPriority w:val="9"/>
    <w:qFormat/>
    <w:rPr>
      <w:rFonts w:ascii="Arial" w:hAnsi="Arial" w:eastAsia="Arial" w:cs="Arial"/>
      <w:sz w:val="30"/>
      <w:szCs w:val="30"/>
    </w:rPr>
  </w:style>
  <w:style w:type="paragraph" w:styleId="1115" w:customStyle="1">
    <w:name w:val="标题 41"/>
    <w:basedOn w:val="912"/>
    <w:next w:val="912"/>
    <w:link w:val="1116"/>
    <w:uiPriority w:val="9"/>
    <w:unhideWhenUsed/>
    <w:qFormat/>
    <w:pPr>
      <w:keepLines/>
      <w:keepNext/>
      <w:spacing w:before="320" w:after="200"/>
      <w:outlineLvl w:val="3"/>
    </w:pPr>
    <w:rPr>
      <w:rFonts w:ascii="Arial" w:hAnsi="Arial" w:eastAsia="Arial"/>
      <w:b/>
      <w:bCs/>
      <w:szCs w:val="26"/>
    </w:rPr>
  </w:style>
  <w:style w:type="character" w:styleId="1116" w:customStyle="1">
    <w:name w:val="Heading 4 Char"/>
    <w:link w:val="1115"/>
    <w:uiPriority w:val="9"/>
    <w:qFormat/>
    <w:rPr>
      <w:rFonts w:ascii="Arial" w:hAnsi="Arial" w:eastAsia="Arial" w:cs="Arial"/>
      <w:b/>
      <w:bCs/>
      <w:sz w:val="26"/>
      <w:szCs w:val="26"/>
    </w:rPr>
  </w:style>
  <w:style w:type="paragraph" w:styleId="1117" w:customStyle="1">
    <w:name w:val="标题 51"/>
    <w:basedOn w:val="912"/>
    <w:next w:val="912"/>
    <w:link w:val="1118"/>
    <w:uiPriority w:val="9"/>
    <w:unhideWhenUsed/>
    <w:qFormat/>
    <w:pPr>
      <w:keepLines/>
      <w:keepNext/>
      <w:spacing w:before="320" w:after="200"/>
      <w:outlineLvl w:val="4"/>
    </w:pPr>
    <w:rPr>
      <w:rFonts w:ascii="Arial" w:hAnsi="Arial" w:eastAsia="Arial"/>
      <w:b/>
      <w:bCs/>
      <w:sz w:val="24"/>
      <w:szCs w:val="24"/>
    </w:rPr>
  </w:style>
  <w:style w:type="character" w:styleId="1118" w:customStyle="1">
    <w:name w:val="Heading 5 Char"/>
    <w:link w:val="1117"/>
    <w:uiPriority w:val="9"/>
    <w:qFormat/>
    <w:rPr>
      <w:rFonts w:ascii="Arial" w:hAnsi="Arial" w:eastAsia="Arial" w:cs="Arial"/>
      <w:b/>
      <w:bCs/>
      <w:sz w:val="24"/>
      <w:szCs w:val="24"/>
    </w:rPr>
  </w:style>
  <w:style w:type="paragraph" w:styleId="1119" w:customStyle="1">
    <w:name w:val="标题 61"/>
    <w:basedOn w:val="912"/>
    <w:next w:val="912"/>
    <w:link w:val="1120"/>
    <w:uiPriority w:val="9"/>
    <w:unhideWhenUsed/>
    <w:qFormat/>
    <w:pPr>
      <w:keepLines/>
      <w:keepNext/>
      <w:spacing w:before="320" w:after="200"/>
      <w:outlineLvl w:val="5"/>
    </w:pPr>
    <w:rPr>
      <w:rFonts w:ascii="Arial" w:hAnsi="Arial" w:eastAsia="Arial"/>
      <w:b/>
      <w:bCs/>
      <w:sz w:val="22"/>
      <w:szCs w:val="22"/>
    </w:rPr>
  </w:style>
  <w:style w:type="character" w:styleId="1120" w:customStyle="1">
    <w:name w:val="Heading 6 Char"/>
    <w:link w:val="1119"/>
    <w:uiPriority w:val="9"/>
    <w:qFormat/>
    <w:rPr>
      <w:rFonts w:ascii="Arial" w:hAnsi="Arial" w:eastAsia="Arial" w:cs="Arial"/>
      <w:b/>
      <w:bCs/>
      <w:sz w:val="22"/>
      <w:szCs w:val="22"/>
    </w:rPr>
  </w:style>
  <w:style w:type="paragraph" w:styleId="1121" w:customStyle="1">
    <w:name w:val="标题 71"/>
    <w:basedOn w:val="912"/>
    <w:next w:val="912"/>
    <w:link w:val="1122"/>
    <w:uiPriority w:val="9"/>
    <w:unhideWhenUsed/>
    <w:qFormat/>
    <w:pPr>
      <w:keepLines/>
      <w:keepNext/>
      <w:spacing w:before="320" w:after="200"/>
      <w:outlineLvl w:val="6"/>
    </w:pPr>
    <w:rPr>
      <w:rFonts w:ascii="Arial" w:hAnsi="Arial" w:eastAsia="Arial"/>
      <w:b/>
      <w:bCs/>
      <w:i/>
      <w:iCs/>
      <w:sz w:val="22"/>
      <w:szCs w:val="22"/>
    </w:rPr>
  </w:style>
  <w:style w:type="character" w:styleId="1122" w:customStyle="1">
    <w:name w:val="Heading 7 Char"/>
    <w:link w:val="1121"/>
    <w:uiPriority w:val="9"/>
    <w:qFormat/>
    <w:rPr>
      <w:rFonts w:ascii="Arial" w:hAnsi="Arial" w:eastAsia="Arial" w:cs="Arial"/>
      <w:b/>
      <w:bCs/>
      <w:i/>
      <w:iCs/>
      <w:sz w:val="22"/>
      <w:szCs w:val="22"/>
    </w:rPr>
  </w:style>
  <w:style w:type="paragraph" w:styleId="1123" w:customStyle="1">
    <w:name w:val="标题 81"/>
    <w:basedOn w:val="912"/>
    <w:next w:val="912"/>
    <w:link w:val="1124"/>
    <w:uiPriority w:val="9"/>
    <w:unhideWhenUsed/>
    <w:qFormat/>
    <w:pPr>
      <w:keepLines/>
      <w:keepNext/>
      <w:spacing w:before="320" w:after="200"/>
      <w:outlineLvl w:val="7"/>
    </w:pPr>
    <w:rPr>
      <w:rFonts w:ascii="Arial" w:hAnsi="Arial" w:eastAsia="Arial"/>
      <w:i/>
      <w:iCs/>
      <w:sz w:val="22"/>
      <w:szCs w:val="22"/>
    </w:rPr>
  </w:style>
  <w:style w:type="character" w:styleId="1124" w:customStyle="1">
    <w:name w:val="Heading 8 Char"/>
    <w:link w:val="1123"/>
    <w:uiPriority w:val="9"/>
    <w:qFormat/>
    <w:rPr>
      <w:rFonts w:ascii="Arial" w:hAnsi="Arial" w:eastAsia="Arial" w:cs="Arial"/>
      <w:i/>
      <w:iCs/>
      <w:sz w:val="22"/>
      <w:szCs w:val="22"/>
    </w:rPr>
  </w:style>
  <w:style w:type="paragraph" w:styleId="1125" w:customStyle="1">
    <w:name w:val="标题 91"/>
    <w:basedOn w:val="912"/>
    <w:next w:val="912"/>
    <w:link w:val="1126"/>
    <w:uiPriority w:val="9"/>
    <w:unhideWhenUsed/>
    <w:qFormat/>
    <w:pPr>
      <w:keepLines/>
      <w:keepNext/>
      <w:spacing w:before="320" w:after="200"/>
      <w:outlineLvl w:val="8"/>
    </w:pPr>
    <w:rPr>
      <w:rFonts w:ascii="Arial" w:hAnsi="Arial" w:eastAsia="Arial"/>
      <w:i/>
      <w:iCs/>
      <w:sz w:val="21"/>
      <w:szCs w:val="21"/>
    </w:rPr>
  </w:style>
  <w:style w:type="character" w:styleId="1126" w:customStyle="1">
    <w:name w:val="Heading 9 Char"/>
    <w:link w:val="1125"/>
    <w:uiPriority w:val="9"/>
    <w:qFormat/>
    <w:rPr>
      <w:rFonts w:ascii="Arial" w:hAnsi="Arial" w:eastAsia="Arial" w:cs="Arial"/>
      <w:i/>
      <w:iCs/>
      <w:sz w:val="21"/>
      <w:szCs w:val="21"/>
    </w:rPr>
  </w:style>
  <w:style w:type="paragraph" w:styleId="1127" w:customStyle="1">
    <w:name w:val="列表段落1"/>
    <w:basedOn w:val="912"/>
    <w:link w:val="1128"/>
    <w:uiPriority w:val="0"/>
    <w:qFormat/>
    <w:pPr>
      <w:ind w:firstLine="420"/>
    </w:pPr>
    <w:rPr>
      <w:rFonts w:eastAsia="宋体"/>
      <w:sz w:val="21"/>
      <w:szCs w:val="24"/>
    </w:rPr>
  </w:style>
  <w:style w:type="character" w:styleId="1128" w:customStyle="1">
    <w:name w:val="列表段落 字符"/>
    <w:link w:val="1127"/>
    <w:uiPriority w:val="0"/>
    <w:qFormat/>
    <w:rPr>
      <w:sz w:val="21"/>
      <w:szCs w:val="24"/>
    </w:rPr>
  </w:style>
  <w:style w:type="paragraph" w:styleId="1129" w:customStyle="1">
    <w:name w:val="无间隔1"/>
    <w:uiPriority w:val="99"/>
    <w:qFormat/>
    <w:pPr>
      <w:jc w:val="both"/>
      <w:widowControl w:val="off"/>
    </w:pPr>
    <w:rPr>
      <w:rFonts w:ascii="Times New Roman" w:hAnsi="Times New Roman" w:eastAsia="楷体_GB2312" w:cs="Times New Roman"/>
      <w:sz w:val="26"/>
      <w:lang w:val="en-US" w:eastAsia="zh-CN" w:bidi="ar-SA"/>
    </w:rPr>
  </w:style>
  <w:style w:type="paragraph" w:styleId="1130" w:customStyle="1">
    <w:name w:val="引用1"/>
    <w:basedOn w:val="912"/>
    <w:next w:val="912"/>
    <w:link w:val="1131"/>
    <w:uiPriority w:val="29"/>
    <w:qFormat/>
    <w:pPr>
      <w:ind w:left="720" w:right="720"/>
    </w:pPr>
    <w:rPr>
      <w:rFonts w:eastAsia="宋体"/>
      <w:i/>
      <w:sz w:val="20"/>
    </w:rPr>
  </w:style>
  <w:style w:type="character" w:styleId="1131" w:customStyle="1">
    <w:name w:val="引用 字符"/>
    <w:link w:val="1130"/>
    <w:uiPriority w:val="29"/>
    <w:qFormat/>
    <w:rPr>
      <w:i/>
    </w:rPr>
  </w:style>
  <w:style w:type="paragraph" w:styleId="1132" w:customStyle="1">
    <w:name w:val="明显引用1"/>
    <w:basedOn w:val="912"/>
    <w:next w:val="912"/>
    <w:link w:val="11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133" w:customStyle="1">
    <w:name w:val="明显引用 字符"/>
    <w:link w:val="1132"/>
    <w:uiPriority w:val="30"/>
    <w:qFormat/>
    <w:rPr>
      <w:i/>
    </w:rPr>
  </w:style>
  <w:style w:type="paragraph" w:styleId="1134" w:customStyle="1">
    <w:name w:val="页眉1"/>
    <w:basedOn w:val="912"/>
    <w:link w:val="1135"/>
    <w:uiPriority w:val="99"/>
    <w:unhideWhenUsed/>
    <w:qFormat/>
    <w:pPr>
      <w:tabs>
        <w:tab w:val="center" w:pos="7143" w:leader="none"/>
        <w:tab w:val="right" w:pos="14287" w:leader="none"/>
      </w:tabs>
    </w:pPr>
    <w:rPr>
      <w:rFonts w:eastAsia="宋体"/>
      <w:sz w:val="18"/>
    </w:rPr>
  </w:style>
  <w:style w:type="character" w:styleId="1135" w:customStyle="1">
    <w:name w:val="Header Char"/>
    <w:link w:val="1134"/>
    <w:uiPriority w:val="0"/>
    <w:qFormat/>
    <w:rPr>
      <w:sz w:val="18"/>
    </w:rPr>
  </w:style>
  <w:style w:type="paragraph" w:styleId="1136" w:customStyle="1">
    <w:name w:val="页脚1"/>
    <w:basedOn w:val="912"/>
    <w:link w:val="1137"/>
    <w:uiPriority w:val="99"/>
    <w:unhideWhenUsed/>
    <w:qFormat/>
    <w:pPr>
      <w:tabs>
        <w:tab w:val="center" w:pos="7143" w:leader="none"/>
        <w:tab w:val="right" w:pos="14287" w:leader="none"/>
      </w:tabs>
    </w:pPr>
  </w:style>
  <w:style w:type="character" w:styleId="1137" w:customStyle="1">
    <w:name w:val="Caption Char"/>
    <w:link w:val="1136"/>
    <w:uiPriority w:val="99"/>
    <w:qFormat/>
  </w:style>
  <w:style w:type="character" w:styleId="1138" w:customStyle="1">
    <w:name w:val="Footer Char"/>
    <w:uiPriority w:val="99"/>
    <w:qFormat/>
  </w:style>
  <w:style w:type="paragraph" w:styleId="1139" w:customStyle="1">
    <w:name w:val="题注1"/>
    <w:basedOn w:val="912"/>
    <w:next w:val="912"/>
    <w:uiPriority w:val="35"/>
    <w:unhideWhenUsed/>
    <w:qFormat/>
    <w:pPr>
      <w:spacing w:line="276" w:lineRule="auto"/>
    </w:pPr>
    <w:rPr>
      <w:b/>
      <w:bCs/>
      <w:color w:val="4f81bd"/>
      <w:sz w:val="18"/>
      <w:szCs w:val="18"/>
    </w:rPr>
  </w:style>
  <w:style w:type="table" w:styleId="1140" w:customStyle="1">
    <w:name w:val="Table Grid Light"/>
    <w:uiPriority w:val="59"/>
    <w:qFormat/>
    <w:tblPr>
      <w:tblCellMar>
        <w:left w:w="0" w:type="dxa"/>
        <w:top w:w="0" w:type="dxa"/>
        <w:right w:w="0" w:type="dxa"/>
        <w:bottom w:w="0" w:type="dxa"/>
      </w:tblCellMar>
    </w:tblPr>
  </w:style>
  <w:style w:type="table" w:styleId="1141" w:customStyle="1">
    <w:name w:val="Grid Table 1 Light - Accent 1"/>
    <w:uiPriority w:val="99"/>
    <w:qFormat/>
    <w:tblPr>
      <w:tblCellMar>
        <w:left w:w="0" w:type="dxa"/>
        <w:top w:w="0" w:type="dxa"/>
        <w:right w:w="0" w:type="dxa"/>
        <w:bottom w:w="0" w:type="dxa"/>
      </w:tblCellMar>
    </w:tblPr>
  </w:style>
  <w:style w:type="table" w:styleId="1142" w:customStyle="1">
    <w:name w:val="Grid Table 1 Light - Accent 2"/>
    <w:uiPriority w:val="99"/>
    <w:qFormat/>
    <w:tblPr>
      <w:tblCellMar>
        <w:left w:w="0" w:type="dxa"/>
        <w:top w:w="0" w:type="dxa"/>
        <w:right w:w="0" w:type="dxa"/>
        <w:bottom w:w="0" w:type="dxa"/>
      </w:tblCellMar>
    </w:tblPr>
  </w:style>
  <w:style w:type="table" w:styleId="1143" w:customStyle="1">
    <w:name w:val="Grid Table 1 Light - Accent 3"/>
    <w:uiPriority w:val="99"/>
    <w:qFormat/>
    <w:tblPr>
      <w:tblCellMar>
        <w:left w:w="0" w:type="dxa"/>
        <w:top w:w="0" w:type="dxa"/>
        <w:right w:w="0" w:type="dxa"/>
        <w:bottom w:w="0" w:type="dxa"/>
      </w:tblCellMar>
    </w:tblPr>
  </w:style>
  <w:style w:type="table" w:styleId="1144" w:customStyle="1">
    <w:name w:val="Grid Table 1 Light - Accent 4"/>
    <w:uiPriority w:val="99"/>
    <w:qFormat/>
    <w:tblPr>
      <w:tblCellMar>
        <w:left w:w="0" w:type="dxa"/>
        <w:top w:w="0" w:type="dxa"/>
        <w:right w:w="0" w:type="dxa"/>
        <w:bottom w:w="0" w:type="dxa"/>
      </w:tblCellMar>
    </w:tblPr>
  </w:style>
  <w:style w:type="table" w:styleId="1145" w:customStyle="1">
    <w:name w:val="Grid Table 1 Light - Accent 5"/>
    <w:uiPriority w:val="99"/>
    <w:qFormat/>
    <w:tblPr>
      <w:tblCellMar>
        <w:left w:w="0" w:type="dxa"/>
        <w:top w:w="0" w:type="dxa"/>
        <w:right w:w="0" w:type="dxa"/>
        <w:bottom w:w="0" w:type="dxa"/>
      </w:tblCellMar>
    </w:tblPr>
  </w:style>
  <w:style w:type="table" w:styleId="1146" w:customStyle="1">
    <w:name w:val="Grid Table 1 Light - Accent 6"/>
    <w:uiPriority w:val="99"/>
    <w:qFormat/>
    <w:tblPr>
      <w:tblCellMar>
        <w:left w:w="0" w:type="dxa"/>
        <w:top w:w="0" w:type="dxa"/>
        <w:right w:w="0" w:type="dxa"/>
        <w:bottom w:w="0" w:type="dxa"/>
      </w:tblCellMar>
    </w:tblPr>
  </w:style>
  <w:style w:type="table" w:styleId="1147" w:customStyle="1">
    <w:name w:val="Grid Table 2 - Accent 1"/>
    <w:uiPriority w:val="99"/>
    <w:qFormat/>
    <w:tblPr>
      <w:tblCellMar>
        <w:left w:w="0" w:type="dxa"/>
        <w:top w:w="0" w:type="dxa"/>
        <w:right w:w="0" w:type="dxa"/>
        <w:bottom w:w="0" w:type="dxa"/>
      </w:tblCellMar>
    </w:tblPr>
  </w:style>
  <w:style w:type="table" w:styleId="1148" w:customStyle="1">
    <w:name w:val="Grid Table 2 - Accent 2"/>
    <w:uiPriority w:val="99"/>
    <w:qFormat/>
    <w:tblPr>
      <w:tblCellMar>
        <w:left w:w="0" w:type="dxa"/>
        <w:top w:w="0" w:type="dxa"/>
        <w:right w:w="0" w:type="dxa"/>
        <w:bottom w:w="0" w:type="dxa"/>
      </w:tblCellMar>
    </w:tblPr>
  </w:style>
  <w:style w:type="table" w:styleId="1149" w:customStyle="1">
    <w:name w:val="Grid Table 2 - Accent 3"/>
    <w:uiPriority w:val="99"/>
    <w:qFormat/>
    <w:tblPr>
      <w:tblCellMar>
        <w:left w:w="0" w:type="dxa"/>
        <w:top w:w="0" w:type="dxa"/>
        <w:right w:w="0" w:type="dxa"/>
        <w:bottom w:w="0" w:type="dxa"/>
      </w:tblCellMar>
    </w:tblPr>
  </w:style>
  <w:style w:type="table" w:styleId="1150" w:customStyle="1">
    <w:name w:val="Grid Table 2 - Accent 4"/>
    <w:uiPriority w:val="99"/>
    <w:qFormat/>
    <w:tblPr>
      <w:tblCellMar>
        <w:left w:w="0" w:type="dxa"/>
        <w:top w:w="0" w:type="dxa"/>
        <w:right w:w="0" w:type="dxa"/>
        <w:bottom w:w="0" w:type="dxa"/>
      </w:tblCellMar>
    </w:tblPr>
  </w:style>
  <w:style w:type="table" w:styleId="1151" w:customStyle="1">
    <w:name w:val="Grid Table 2 - Accent 5"/>
    <w:uiPriority w:val="99"/>
    <w:qFormat/>
    <w:tblPr>
      <w:tblCellMar>
        <w:left w:w="0" w:type="dxa"/>
        <w:top w:w="0" w:type="dxa"/>
        <w:right w:w="0" w:type="dxa"/>
        <w:bottom w:w="0" w:type="dxa"/>
      </w:tblCellMar>
    </w:tblPr>
  </w:style>
  <w:style w:type="table" w:styleId="1152" w:customStyle="1">
    <w:name w:val="Grid Table 2 - Accent 6"/>
    <w:uiPriority w:val="99"/>
    <w:qFormat/>
    <w:tblPr>
      <w:tblCellMar>
        <w:left w:w="0" w:type="dxa"/>
        <w:top w:w="0" w:type="dxa"/>
        <w:right w:w="0" w:type="dxa"/>
        <w:bottom w:w="0" w:type="dxa"/>
      </w:tblCellMar>
    </w:tblPr>
  </w:style>
  <w:style w:type="table" w:styleId="1153" w:customStyle="1">
    <w:name w:val="Grid Table 3 - Accent 1"/>
    <w:uiPriority w:val="99"/>
    <w:qFormat/>
    <w:tblPr>
      <w:tblCellMar>
        <w:left w:w="0" w:type="dxa"/>
        <w:top w:w="0" w:type="dxa"/>
        <w:right w:w="0" w:type="dxa"/>
        <w:bottom w:w="0" w:type="dxa"/>
      </w:tblCellMar>
    </w:tblPr>
  </w:style>
  <w:style w:type="table" w:styleId="1154" w:customStyle="1">
    <w:name w:val="Grid Table 3 - Accent 2"/>
    <w:uiPriority w:val="99"/>
    <w:qFormat/>
    <w:tblPr>
      <w:tblCellMar>
        <w:left w:w="0" w:type="dxa"/>
        <w:top w:w="0" w:type="dxa"/>
        <w:right w:w="0" w:type="dxa"/>
        <w:bottom w:w="0" w:type="dxa"/>
      </w:tblCellMar>
    </w:tblPr>
  </w:style>
  <w:style w:type="table" w:styleId="1155" w:customStyle="1">
    <w:name w:val="Grid Table 3 - Accent 3"/>
    <w:uiPriority w:val="99"/>
    <w:qFormat/>
    <w:tblPr>
      <w:tblCellMar>
        <w:left w:w="0" w:type="dxa"/>
        <w:top w:w="0" w:type="dxa"/>
        <w:right w:w="0" w:type="dxa"/>
        <w:bottom w:w="0" w:type="dxa"/>
      </w:tblCellMar>
    </w:tblPr>
  </w:style>
  <w:style w:type="table" w:styleId="1156" w:customStyle="1">
    <w:name w:val="Grid Table 3 - Accent 4"/>
    <w:uiPriority w:val="99"/>
    <w:qFormat/>
    <w:tblPr>
      <w:tblCellMar>
        <w:left w:w="0" w:type="dxa"/>
        <w:top w:w="0" w:type="dxa"/>
        <w:right w:w="0" w:type="dxa"/>
        <w:bottom w:w="0" w:type="dxa"/>
      </w:tblCellMar>
    </w:tblPr>
  </w:style>
  <w:style w:type="table" w:styleId="1157" w:customStyle="1">
    <w:name w:val="Grid Table 3 - Accent 5"/>
    <w:uiPriority w:val="99"/>
    <w:qFormat/>
    <w:tblPr>
      <w:tblCellMar>
        <w:left w:w="0" w:type="dxa"/>
        <w:top w:w="0" w:type="dxa"/>
        <w:right w:w="0" w:type="dxa"/>
        <w:bottom w:w="0" w:type="dxa"/>
      </w:tblCellMar>
    </w:tblPr>
  </w:style>
  <w:style w:type="table" w:styleId="1158" w:customStyle="1">
    <w:name w:val="Grid Table 3 - Accent 6"/>
    <w:uiPriority w:val="99"/>
    <w:qFormat/>
    <w:tblPr>
      <w:tblCellMar>
        <w:left w:w="0" w:type="dxa"/>
        <w:top w:w="0" w:type="dxa"/>
        <w:right w:w="0" w:type="dxa"/>
        <w:bottom w:w="0" w:type="dxa"/>
      </w:tblCellMar>
    </w:tblPr>
  </w:style>
  <w:style w:type="table" w:styleId="1159" w:customStyle="1">
    <w:name w:val="Grid Table 4 - Accent 1"/>
    <w:uiPriority w:val="59"/>
    <w:qFormat/>
    <w:tblPr>
      <w:tblCellMar>
        <w:left w:w="0" w:type="dxa"/>
        <w:top w:w="0" w:type="dxa"/>
        <w:right w:w="0" w:type="dxa"/>
        <w:bottom w:w="0" w:type="dxa"/>
      </w:tblCellMar>
    </w:tblPr>
  </w:style>
  <w:style w:type="table" w:styleId="1160" w:customStyle="1">
    <w:name w:val="Grid Table 4 - Accent 2"/>
    <w:uiPriority w:val="59"/>
    <w:qFormat/>
    <w:tblPr>
      <w:tblCellMar>
        <w:left w:w="0" w:type="dxa"/>
        <w:top w:w="0" w:type="dxa"/>
        <w:right w:w="0" w:type="dxa"/>
        <w:bottom w:w="0" w:type="dxa"/>
      </w:tblCellMar>
    </w:tblPr>
  </w:style>
  <w:style w:type="table" w:styleId="1161" w:customStyle="1">
    <w:name w:val="Grid Table 4 - Accent 3"/>
    <w:uiPriority w:val="59"/>
    <w:qFormat/>
    <w:tblPr>
      <w:tblCellMar>
        <w:left w:w="0" w:type="dxa"/>
        <w:top w:w="0" w:type="dxa"/>
        <w:right w:w="0" w:type="dxa"/>
        <w:bottom w:w="0" w:type="dxa"/>
      </w:tblCellMar>
    </w:tblPr>
  </w:style>
  <w:style w:type="table" w:styleId="1162" w:customStyle="1">
    <w:name w:val="Grid Table 4 - Accent 4"/>
    <w:uiPriority w:val="59"/>
    <w:qFormat/>
    <w:tblPr>
      <w:tblCellMar>
        <w:left w:w="0" w:type="dxa"/>
        <w:top w:w="0" w:type="dxa"/>
        <w:right w:w="0" w:type="dxa"/>
        <w:bottom w:w="0" w:type="dxa"/>
      </w:tblCellMar>
    </w:tblPr>
  </w:style>
  <w:style w:type="table" w:styleId="1163" w:customStyle="1">
    <w:name w:val="Grid Table 4 - Accent 5"/>
    <w:uiPriority w:val="59"/>
    <w:qFormat/>
    <w:tblPr>
      <w:tblCellMar>
        <w:left w:w="0" w:type="dxa"/>
        <w:top w:w="0" w:type="dxa"/>
        <w:right w:w="0" w:type="dxa"/>
        <w:bottom w:w="0" w:type="dxa"/>
      </w:tblCellMar>
    </w:tblPr>
  </w:style>
  <w:style w:type="table" w:styleId="1164" w:customStyle="1">
    <w:name w:val="Grid Table 4 - Accent 6"/>
    <w:uiPriority w:val="59"/>
    <w:qFormat/>
    <w:tblPr>
      <w:tblCellMar>
        <w:left w:w="0" w:type="dxa"/>
        <w:top w:w="0" w:type="dxa"/>
        <w:right w:w="0" w:type="dxa"/>
        <w:bottom w:w="0" w:type="dxa"/>
      </w:tblCellMar>
    </w:tblPr>
  </w:style>
  <w:style w:type="table" w:styleId="1165" w:customStyle="1">
    <w:name w:val="Grid Table 5 Dark- Accent 1"/>
    <w:uiPriority w:val="99"/>
    <w:qFormat/>
    <w:tblPr>
      <w:tblCellMar>
        <w:left w:w="0" w:type="dxa"/>
        <w:top w:w="0" w:type="dxa"/>
        <w:right w:w="0" w:type="dxa"/>
        <w:bottom w:w="0" w:type="dxa"/>
      </w:tblCellMar>
    </w:tblPr>
  </w:style>
  <w:style w:type="table" w:styleId="1166" w:customStyle="1">
    <w:name w:val="Grid Table 5 Dark - Accent 2"/>
    <w:uiPriority w:val="99"/>
    <w:qFormat/>
    <w:tblPr>
      <w:tblCellMar>
        <w:left w:w="0" w:type="dxa"/>
        <w:top w:w="0" w:type="dxa"/>
        <w:right w:w="0" w:type="dxa"/>
        <w:bottom w:w="0" w:type="dxa"/>
      </w:tblCellMar>
    </w:tblPr>
  </w:style>
  <w:style w:type="table" w:styleId="1167" w:customStyle="1">
    <w:name w:val="Grid Table 5 Dark - Accent 3"/>
    <w:uiPriority w:val="99"/>
    <w:qFormat/>
    <w:tblPr>
      <w:tblCellMar>
        <w:left w:w="0" w:type="dxa"/>
        <w:top w:w="0" w:type="dxa"/>
        <w:right w:w="0" w:type="dxa"/>
        <w:bottom w:w="0" w:type="dxa"/>
      </w:tblCellMar>
    </w:tblPr>
  </w:style>
  <w:style w:type="table" w:styleId="1168" w:customStyle="1">
    <w:name w:val="Grid Table 5 Dark- Accent 4"/>
    <w:uiPriority w:val="99"/>
    <w:qFormat/>
    <w:tblPr>
      <w:tblCellMar>
        <w:left w:w="0" w:type="dxa"/>
        <w:top w:w="0" w:type="dxa"/>
        <w:right w:w="0" w:type="dxa"/>
        <w:bottom w:w="0" w:type="dxa"/>
      </w:tblCellMar>
    </w:tblPr>
  </w:style>
  <w:style w:type="table" w:styleId="1169" w:customStyle="1">
    <w:name w:val="Grid Table 5 Dark - Accent 5"/>
    <w:uiPriority w:val="99"/>
    <w:qFormat/>
    <w:tblPr>
      <w:tblCellMar>
        <w:left w:w="0" w:type="dxa"/>
        <w:top w:w="0" w:type="dxa"/>
        <w:right w:w="0" w:type="dxa"/>
        <w:bottom w:w="0" w:type="dxa"/>
      </w:tblCellMar>
    </w:tblPr>
  </w:style>
  <w:style w:type="table" w:styleId="1170" w:customStyle="1">
    <w:name w:val="Grid Table 5 Dark - Accent 6"/>
    <w:uiPriority w:val="99"/>
    <w:qFormat/>
    <w:tblPr>
      <w:tblCellMar>
        <w:left w:w="0" w:type="dxa"/>
        <w:top w:w="0" w:type="dxa"/>
        <w:right w:w="0" w:type="dxa"/>
        <w:bottom w:w="0" w:type="dxa"/>
      </w:tblCellMar>
    </w:tblPr>
  </w:style>
  <w:style w:type="table" w:styleId="1171" w:customStyle="1">
    <w:name w:val="Grid Table 6 Colorful - Accent 1"/>
    <w:uiPriority w:val="99"/>
    <w:qFormat/>
    <w:tblPr>
      <w:tblCellMar>
        <w:left w:w="0" w:type="dxa"/>
        <w:top w:w="0" w:type="dxa"/>
        <w:right w:w="0" w:type="dxa"/>
        <w:bottom w:w="0" w:type="dxa"/>
      </w:tblCellMar>
    </w:tblPr>
  </w:style>
  <w:style w:type="table" w:styleId="1172" w:customStyle="1">
    <w:name w:val="Grid Table 6 Colorful - Accent 2"/>
    <w:uiPriority w:val="99"/>
    <w:qFormat/>
    <w:tblPr>
      <w:tblCellMar>
        <w:left w:w="0" w:type="dxa"/>
        <w:top w:w="0" w:type="dxa"/>
        <w:right w:w="0" w:type="dxa"/>
        <w:bottom w:w="0" w:type="dxa"/>
      </w:tblCellMar>
    </w:tblPr>
  </w:style>
  <w:style w:type="table" w:styleId="1173" w:customStyle="1">
    <w:name w:val="Grid Table 6 Colorful - Accent 3"/>
    <w:uiPriority w:val="99"/>
    <w:qFormat/>
    <w:tblPr>
      <w:tblCellMar>
        <w:left w:w="0" w:type="dxa"/>
        <w:top w:w="0" w:type="dxa"/>
        <w:right w:w="0" w:type="dxa"/>
        <w:bottom w:w="0" w:type="dxa"/>
      </w:tblCellMar>
    </w:tblPr>
  </w:style>
  <w:style w:type="table" w:styleId="1174" w:customStyle="1">
    <w:name w:val="Grid Table 6 Colorful - Accent 4"/>
    <w:uiPriority w:val="99"/>
    <w:qFormat/>
    <w:tblPr>
      <w:tblCellMar>
        <w:left w:w="0" w:type="dxa"/>
        <w:top w:w="0" w:type="dxa"/>
        <w:right w:w="0" w:type="dxa"/>
        <w:bottom w:w="0" w:type="dxa"/>
      </w:tblCellMar>
    </w:tblPr>
  </w:style>
  <w:style w:type="table" w:styleId="1175" w:customStyle="1">
    <w:name w:val="Grid Table 6 Colorful - Accent 5"/>
    <w:uiPriority w:val="99"/>
    <w:qFormat/>
    <w:tblPr>
      <w:tblCellMar>
        <w:left w:w="0" w:type="dxa"/>
        <w:top w:w="0" w:type="dxa"/>
        <w:right w:w="0" w:type="dxa"/>
        <w:bottom w:w="0" w:type="dxa"/>
      </w:tblCellMar>
    </w:tblPr>
  </w:style>
  <w:style w:type="table" w:styleId="1176" w:customStyle="1">
    <w:name w:val="Grid Table 6 Colorful - Accent 6"/>
    <w:uiPriority w:val="99"/>
    <w:qFormat/>
    <w:tblPr>
      <w:tblCellMar>
        <w:left w:w="0" w:type="dxa"/>
        <w:top w:w="0" w:type="dxa"/>
        <w:right w:w="0" w:type="dxa"/>
        <w:bottom w:w="0" w:type="dxa"/>
      </w:tblCellMar>
    </w:tblPr>
  </w:style>
  <w:style w:type="table" w:styleId="1177" w:customStyle="1">
    <w:name w:val="Grid Table 7 Colorful - Accent 1"/>
    <w:uiPriority w:val="99"/>
    <w:qFormat/>
    <w:tblPr>
      <w:tblCellMar>
        <w:left w:w="0" w:type="dxa"/>
        <w:top w:w="0" w:type="dxa"/>
        <w:right w:w="0" w:type="dxa"/>
        <w:bottom w:w="0" w:type="dxa"/>
      </w:tblCellMar>
    </w:tblPr>
  </w:style>
  <w:style w:type="table" w:styleId="1178" w:customStyle="1">
    <w:name w:val="Grid Table 7 Colorful - Accent 2"/>
    <w:uiPriority w:val="99"/>
    <w:qFormat/>
    <w:tblPr>
      <w:tblCellMar>
        <w:left w:w="0" w:type="dxa"/>
        <w:top w:w="0" w:type="dxa"/>
        <w:right w:w="0" w:type="dxa"/>
        <w:bottom w:w="0" w:type="dxa"/>
      </w:tblCellMar>
    </w:tblPr>
  </w:style>
  <w:style w:type="table" w:styleId="1179" w:customStyle="1">
    <w:name w:val="Grid Table 7 Colorful - Accent 3"/>
    <w:uiPriority w:val="99"/>
    <w:qFormat/>
    <w:tblPr>
      <w:tblCellMar>
        <w:left w:w="0" w:type="dxa"/>
        <w:top w:w="0" w:type="dxa"/>
        <w:right w:w="0" w:type="dxa"/>
        <w:bottom w:w="0" w:type="dxa"/>
      </w:tblCellMar>
    </w:tblPr>
  </w:style>
  <w:style w:type="table" w:styleId="1180" w:customStyle="1">
    <w:name w:val="Grid Table 7 Colorful - Accent 4"/>
    <w:uiPriority w:val="99"/>
    <w:qFormat/>
    <w:tblPr>
      <w:tblCellMar>
        <w:left w:w="0" w:type="dxa"/>
        <w:top w:w="0" w:type="dxa"/>
        <w:right w:w="0" w:type="dxa"/>
        <w:bottom w:w="0" w:type="dxa"/>
      </w:tblCellMar>
    </w:tblPr>
  </w:style>
  <w:style w:type="table" w:styleId="1181" w:customStyle="1">
    <w:name w:val="Grid Table 7 Colorful - Accent 5"/>
    <w:uiPriority w:val="99"/>
    <w:qFormat/>
    <w:tblPr>
      <w:tblCellMar>
        <w:left w:w="0" w:type="dxa"/>
        <w:top w:w="0" w:type="dxa"/>
        <w:right w:w="0" w:type="dxa"/>
        <w:bottom w:w="0" w:type="dxa"/>
      </w:tblCellMar>
    </w:tblPr>
  </w:style>
  <w:style w:type="table" w:styleId="1182" w:customStyle="1">
    <w:name w:val="Grid Table 7 Colorful - Accent 6"/>
    <w:uiPriority w:val="99"/>
    <w:qFormat/>
    <w:tblPr>
      <w:tblCellMar>
        <w:left w:w="0" w:type="dxa"/>
        <w:top w:w="0" w:type="dxa"/>
        <w:right w:w="0" w:type="dxa"/>
        <w:bottom w:w="0" w:type="dxa"/>
      </w:tblCellMar>
    </w:tblPr>
  </w:style>
  <w:style w:type="table" w:styleId="1183" w:customStyle="1">
    <w:name w:val="List Table 1 Light - Accent 1"/>
    <w:uiPriority w:val="99"/>
    <w:qFormat/>
    <w:tblPr>
      <w:tblCellMar>
        <w:left w:w="0" w:type="dxa"/>
        <w:top w:w="0" w:type="dxa"/>
        <w:right w:w="0" w:type="dxa"/>
        <w:bottom w:w="0" w:type="dxa"/>
      </w:tblCellMar>
    </w:tblPr>
  </w:style>
  <w:style w:type="table" w:styleId="1184" w:customStyle="1">
    <w:name w:val="List Table 1 Light - Accent 2"/>
    <w:uiPriority w:val="99"/>
    <w:qFormat/>
    <w:tblPr>
      <w:tblCellMar>
        <w:left w:w="0" w:type="dxa"/>
        <w:top w:w="0" w:type="dxa"/>
        <w:right w:w="0" w:type="dxa"/>
        <w:bottom w:w="0" w:type="dxa"/>
      </w:tblCellMar>
    </w:tblPr>
  </w:style>
  <w:style w:type="table" w:styleId="1185" w:customStyle="1">
    <w:name w:val="List Table 1 Light - Accent 3"/>
    <w:uiPriority w:val="99"/>
    <w:qFormat/>
    <w:tblPr>
      <w:tblCellMar>
        <w:left w:w="0" w:type="dxa"/>
        <w:top w:w="0" w:type="dxa"/>
        <w:right w:w="0" w:type="dxa"/>
        <w:bottom w:w="0" w:type="dxa"/>
      </w:tblCellMar>
    </w:tblPr>
  </w:style>
  <w:style w:type="table" w:styleId="1186" w:customStyle="1">
    <w:name w:val="List Table 1 Light - Accent 4"/>
    <w:uiPriority w:val="99"/>
    <w:qFormat/>
    <w:tblPr>
      <w:tblCellMar>
        <w:left w:w="0" w:type="dxa"/>
        <w:top w:w="0" w:type="dxa"/>
        <w:right w:w="0" w:type="dxa"/>
        <w:bottom w:w="0" w:type="dxa"/>
      </w:tblCellMar>
    </w:tblPr>
  </w:style>
  <w:style w:type="table" w:styleId="1187" w:customStyle="1">
    <w:name w:val="List Table 1 Light - Accent 5"/>
    <w:uiPriority w:val="99"/>
    <w:qFormat/>
    <w:tblPr>
      <w:tblCellMar>
        <w:left w:w="0" w:type="dxa"/>
        <w:top w:w="0" w:type="dxa"/>
        <w:right w:w="0" w:type="dxa"/>
        <w:bottom w:w="0" w:type="dxa"/>
      </w:tblCellMar>
    </w:tblPr>
  </w:style>
  <w:style w:type="table" w:styleId="1188" w:customStyle="1">
    <w:name w:val="List Table 1 Light - Accent 6"/>
    <w:uiPriority w:val="99"/>
    <w:qFormat/>
    <w:tblPr>
      <w:tblCellMar>
        <w:left w:w="0" w:type="dxa"/>
        <w:top w:w="0" w:type="dxa"/>
        <w:right w:w="0" w:type="dxa"/>
        <w:bottom w:w="0" w:type="dxa"/>
      </w:tblCellMar>
    </w:tblPr>
  </w:style>
  <w:style w:type="table" w:styleId="1189" w:customStyle="1">
    <w:name w:val="List Table 2 - Accent 1"/>
    <w:uiPriority w:val="99"/>
    <w:qFormat/>
    <w:tblPr>
      <w:tblCellMar>
        <w:left w:w="0" w:type="dxa"/>
        <w:top w:w="0" w:type="dxa"/>
        <w:right w:w="0" w:type="dxa"/>
        <w:bottom w:w="0" w:type="dxa"/>
      </w:tblCellMar>
    </w:tblPr>
  </w:style>
  <w:style w:type="table" w:styleId="1190" w:customStyle="1">
    <w:name w:val="List Table 2 - Accent 2"/>
    <w:uiPriority w:val="99"/>
    <w:qFormat/>
    <w:tblPr>
      <w:tblCellMar>
        <w:left w:w="0" w:type="dxa"/>
        <w:top w:w="0" w:type="dxa"/>
        <w:right w:w="0" w:type="dxa"/>
        <w:bottom w:w="0" w:type="dxa"/>
      </w:tblCellMar>
    </w:tblPr>
  </w:style>
  <w:style w:type="table" w:styleId="1191" w:customStyle="1">
    <w:name w:val="List Table 2 - Accent 3"/>
    <w:uiPriority w:val="99"/>
    <w:qFormat/>
    <w:tblPr>
      <w:tblCellMar>
        <w:left w:w="0" w:type="dxa"/>
        <w:top w:w="0" w:type="dxa"/>
        <w:right w:w="0" w:type="dxa"/>
        <w:bottom w:w="0" w:type="dxa"/>
      </w:tblCellMar>
    </w:tblPr>
  </w:style>
  <w:style w:type="table" w:styleId="1192" w:customStyle="1">
    <w:name w:val="List Table 2 - Accent 4"/>
    <w:uiPriority w:val="99"/>
    <w:qFormat/>
    <w:tblPr>
      <w:tblCellMar>
        <w:left w:w="0" w:type="dxa"/>
        <w:top w:w="0" w:type="dxa"/>
        <w:right w:w="0" w:type="dxa"/>
        <w:bottom w:w="0" w:type="dxa"/>
      </w:tblCellMar>
    </w:tblPr>
  </w:style>
  <w:style w:type="table" w:styleId="1193" w:customStyle="1">
    <w:name w:val="List Table 2 - Accent 5"/>
    <w:uiPriority w:val="99"/>
    <w:qFormat/>
    <w:tblPr>
      <w:tblCellMar>
        <w:left w:w="0" w:type="dxa"/>
        <w:top w:w="0" w:type="dxa"/>
        <w:right w:w="0" w:type="dxa"/>
        <w:bottom w:w="0" w:type="dxa"/>
      </w:tblCellMar>
    </w:tblPr>
  </w:style>
  <w:style w:type="table" w:styleId="1194" w:customStyle="1">
    <w:name w:val="List Table 2 - Accent 6"/>
    <w:uiPriority w:val="99"/>
    <w:qFormat/>
    <w:tblPr>
      <w:tblCellMar>
        <w:left w:w="0" w:type="dxa"/>
        <w:top w:w="0" w:type="dxa"/>
        <w:right w:w="0" w:type="dxa"/>
        <w:bottom w:w="0" w:type="dxa"/>
      </w:tblCellMar>
    </w:tblPr>
  </w:style>
  <w:style w:type="table" w:styleId="1195" w:customStyle="1">
    <w:name w:val="List Table 3 - Accent 1"/>
    <w:uiPriority w:val="99"/>
    <w:qFormat/>
    <w:tblPr>
      <w:tblCellMar>
        <w:left w:w="0" w:type="dxa"/>
        <w:top w:w="0" w:type="dxa"/>
        <w:right w:w="0" w:type="dxa"/>
        <w:bottom w:w="0" w:type="dxa"/>
      </w:tblCellMar>
    </w:tblPr>
  </w:style>
  <w:style w:type="table" w:styleId="1196" w:customStyle="1">
    <w:name w:val="List Table 3 - Accent 2"/>
    <w:uiPriority w:val="99"/>
    <w:qFormat/>
    <w:tblPr>
      <w:tblCellMar>
        <w:left w:w="0" w:type="dxa"/>
        <w:top w:w="0" w:type="dxa"/>
        <w:right w:w="0" w:type="dxa"/>
        <w:bottom w:w="0" w:type="dxa"/>
      </w:tblCellMar>
    </w:tblPr>
  </w:style>
  <w:style w:type="table" w:styleId="1197" w:customStyle="1">
    <w:name w:val="List Table 3 - Accent 3"/>
    <w:uiPriority w:val="99"/>
    <w:qFormat/>
    <w:tblPr>
      <w:tblCellMar>
        <w:left w:w="0" w:type="dxa"/>
        <w:top w:w="0" w:type="dxa"/>
        <w:right w:w="0" w:type="dxa"/>
        <w:bottom w:w="0" w:type="dxa"/>
      </w:tblCellMar>
    </w:tblPr>
  </w:style>
  <w:style w:type="table" w:styleId="1198" w:customStyle="1">
    <w:name w:val="List Table 3 - Accent 4"/>
    <w:uiPriority w:val="99"/>
    <w:qFormat/>
    <w:tblPr>
      <w:tblCellMar>
        <w:left w:w="0" w:type="dxa"/>
        <w:top w:w="0" w:type="dxa"/>
        <w:right w:w="0" w:type="dxa"/>
        <w:bottom w:w="0" w:type="dxa"/>
      </w:tblCellMar>
    </w:tblPr>
  </w:style>
  <w:style w:type="table" w:styleId="1199" w:customStyle="1">
    <w:name w:val="List Table 3 - Accent 5"/>
    <w:uiPriority w:val="99"/>
    <w:qFormat/>
    <w:tblPr>
      <w:tblCellMar>
        <w:left w:w="0" w:type="dxa"/>
        <w:top w:w="0" w:type="dxa"/>
        <w:right w:w="0" w:type="dxa"/>
        <w:bottom w:w="0" w:type="dxa"/>
      </w:tblCellMar>
    </w:tblPr>
  </w:style>
  <w:style w:type="table" w:styleId="1200" w:customStyle="1">
    <w:name w:val="List Table 3 - Accent 6"/>
    <w:uiPriority w:val="99"/>
    <w:qFormat/>
    <w:tblPr>
      <w:tblCellMar>
        <w:left w:w="0" w:type="dxa"/>
        <w:top w:w="0" w:type="dxa"/>
        <w:right w:w="0" w:type="dxa"/>
        <w:bottom w:w="0" w:type="dxa"/>
      </w:tblCellMar>
    </w:tblPr>
  </w:style>
  <w:style w:type="table" w:styleId="1201" w:customStyle="1">
    <w:name w:val="List Table 4 - Accent 1"/>
    <w:uiPriority w:val="99"/>
    <w:qFormat/>
    <w:tblPr>
      <w:tblCellMar>
        <w:left w:w="0" w:type="dxa"/>
        <w:top w:w="0" w:type="dxa"/>
        <w:right w:w="0" w:type="dxa"/>
        <w:bottom w:w="0" w:type="dxa"/>
      </w:tblCellMar>
    </w:tblPr>
  </w:style>
  <w:style w:type="table" w:styleId="1202" w:customStyle="1">
    <w:name w:val="List Table 4 - Accent 2"/>
    <w:uiPriority w:val="99"/>
    <w:qFormat/>
    <w:tblPr>
      <w:tblCellMar>
        <w:left w:w="0" w:type="dxa"/>
        <w:top w:w="0" w:type="dxa"/>
        <w:right w:w="0" w:type="dxa"/>
        <w:bottom w:w="0" w:type="dxa"/>
      </w:tblCellMar>
    </w:tblPr>
  </w:style>
  <w:style w:type="table" w:styleId="1203" w:customStyle="1">
    <w:name w:val="List Table 4 - Accent 3"/>
    <w:uiPriority w:val="99"/>
    <w:qFormat/>
    <w:tblPr>
      <w:tblCellMar>
        <w:left w:w="0" w:type="dxa"/>
        <w:top w:w="0" w:type="dxa"/>
        <w:right w:w="0" w:type="dxa"/>
        <w:bottom w:w="0" w:type="dxa"/>
      </w:tblCellMar>
    </w:tblPr>
  </w:style>
  <w:style w:type="table" w:styleId="1204" w:customStyle="1">
    <w:name w:val="List Table 4 - Accent 4"/>
    <w:uiPriority w:val="99"/>
    <w:qFormat/>
    <w:tblPr>
      <w:tblCellMar>
        <w:left w:w="0" w:type="dxa"/>
        <w:top w:w="0" w:type="dxa"/>
        <w:right w:w="0" w:type="dxa"/>
        <w:bottom w:w="0" w:type="dxa"/>
      </w:tblCellMar>
    </w:tblPr>
  </w:style>
  <w:style w:type="table" w:styleId="1205" w:customStyle="1">
    <w:name w:val="List Table 4 - Accent 5"/>
    <w:uiPriority w:val="99"/>
    <w:qFormat/>
    <w:tblPr>
      <w:tblCellMar>
        <w:left w:w="0" w:type="dxa"/>
        <w:top w:w="0" w:type="dxa"/>
        <w:right w:w="0" w:type="dxa"/>
        <w:bottom w:w="0" w:type="dxa"/>
      </w:tblCellMar>
    </w:tblPr>
  </w:style>
  <w:style w:type="table" w:styleId="1206" w:customStyle="1">
    <w:name w:val="List Table 4 - Accent 6"/>
    <w:uiPriority w:val="99"/>
    <w:qFormat/>
    <w:tblPr>
      <w:tblCellMar>
        <w:left w:w="0" w:type="dxa"/>
        <w:top w:w="0" w:type="dxa"/>
        <w:right w:w="0" w:type="dxa"/>
        <w:bottom w:w="0" w:type="dxa"/>
      </w:tblCellMar>
    </w:tblPr>
  </w:style>
  <w:style w:type="table" w:styleId="1207" w:customStyle="1">
    <w:name w:val="List Table 5 Dark - Accent 1"/>
    <w:uiPriority w:val="99"/>
    <w:qFormat/>
    <w:tblPr>
      <w:tblCellMar>
        <w:left w:w="0" w:type="dxa"/>
        <w:top w:w="0" w:type="dxa"/>
        <w:right w:w="0" w:type="dxa"/>
        <w:bottom w:w="0" w:type="dxa"/>
      </w:tblCellMar>
    </w:tblPr>
  </w:style>
  <w:style w:type="table" w:styleId="1208" w:customStyle="1">
    <w:name w:val="List Table 5 Dark - Accent 2"/>
    <w:uiPriority w:val="99"/>
    <w:qFormat/>
    <w:tblPr>
      <w:tblCellMar>
        <w:left w:w="0" w:type="dxa"/>
        <w:top w:w="0" w:type="dxa"/>
        <w:right w:w="0" w:type="dxa"/>
        <w:bottom w:w="0" w:type="dxa"/>
      </w:tblCellMar>
    </w:tblPr>
  </w:style>
  <w:style w:type="table" w:styleId="1209" w:customStyle="1">
    <w:name w:val="List Table 5 Dark - Accent 3"/>
    <w:uiPriority w:val="99"/>
    <w:qFormat/>
    <w:tblPr>
      <w:tblCellMar>
        <w:left w:w="0" w:type="dxa"/>
        <w:top w:w="0" w:type="dxa"/>
        <w:right w:w="0" w:type="dxa"/>
        <w:bottom w:w="0" w:type="dxa"/>
      </w:tblCellMar>
    </w:tblPr>
  </w:style>
  <w:style w:type="table" w:styleId="1210" w:customStyle="1">
    <w:name w:val="List Table 5 Dark - Accent 4"/>
    <w:uiPriority w:val="99"/>
    <w:qFormat/>
    <w:tblPr>
      <w:tblCellMar>
        <w:left w:w="0" w:type="dxa"/>
        <w:top w:w="0" w:type="dxa"/>
        <w:right w:w="0" w:type="dxa"/>
        <w:bottom w:w="0" w:type="dxa"/>
      </w:tblCellMar>
    </w:tblPr>
  </w:style>
  <w:style w:type="table" w:styleId="1211" w:customStyle="1">
    <w:name w:val="List Table 5 Dark - Accent 5"/>
    <w:uiPriority w:val="99"/>
    <w:qFormat/>
    <w:tblPr>
      <w:tblCellMar>
        <w:left w:w="0" w:type="dxa"/>
        <w:top w:w="0" w:type="dxa"/>
        <w:right w:w="0" w:type="dxa"/>
        <w:bottom w:w="0" w:type="dxa"/>
      </w:tblCellMar>
    </w:tblPr>
  </w:style>
  <w:style w:type="table" w:styleId="1212" w:customStyle="1">
    <w:name w:val="List Table 5 Dark - Accent 6"/>
    <w:uiPriority w:val="99"/>
    <w:qFormat/>
    <w:tblPr>
      <w:tblCellMar>
        <w:left w:w="0" w:type="dxa"/>
        <w:top w:w="0" w:type="dxa"/>
        <w:right w:w="0" w:type="dxa"/>
        <w:bottom w:w="0" w:type="dxa"/>
      </w:tblCellMar>
    </w:tblPr>
  </w:style>
  <w:style w:type="table" w:styleId="1213" w:customStyle="1">
    <w:name w:val="List Table 6 Colorful - Accent 1"/>
    <w:uiPriority w:val="99"/>
    <w:qFormat/>
    <w:tblPr>
      <w:tblCellMar>
        <w:left w:w="0" w:type="dxa"/>
        <w:top w:w="0" w:type="dxa"/>
        <w:right w:w="0" w:type="dxa"/>
        <w:bottom w:w="0" w:type="dxa"/>
      </w:tblCellMar>
    </w:tblPr>
  </w:style>
  <w:style w:type="table" w:styleId="1214" w:customStyle="1">
    <w:name w:val="List Table 6 Colorful - Accent 2"/>
    <w:uiPriority w:val="99"/>
    <w:qFormat/>
    <w:tblPr>
      <w:tblCellMar>
        <w:left w:w="0" w:type="dxa"/>
        <w:top w:w="0" w:type="dxa"/>
        <w:right w:w="0" w:type="dxa"/>
        <w:bottom w:w="0" w:type="dxa"/>
      </w:tblCellMar>
    </w:tblPr>
  </w:style>
  <w:style w:type="table" w:styleId="1215" w:customStyle="1">
    <w:name w:val="List Table 6 Colorful - Accent 3"/>
    <w:uiPriority w:val="99"/>
    <w:qFormat/>
    <w:tblPr>
      <w:tblCellMar>
        <w:left w:w="0" w:type="dxa"/>
        <w:top w:w="0" w:type="dxa"/>
        <w:right w:w="0" w:type="dxa"/>
        <w:bottom w:w="0" w:type="dxa"/>
      </w:tblCellMar>
    </w:tblPr>
  </w:style>
  <w:style w:type="table" w:styleId="1216" w:customStyle="1">
    <w:name w:val="List Table 6 Colorful - Accent 4"/>
    <w:uiPriority w:val="99"/>
    <w:qFormat/>
    <w:tblPr>
      <w:tblCellMar>
        <w:left w:w="0" w:type="dxa"/>
        <w:top w:w="0" w:type="dxa"/>
        <w:right w:w="0" w:type="dxa"/>
        <w:bottom w:w="0" w:type="dxa"/>
      </w:tblCellMar>
    </w:tblPr>
  </w:style>
  <w:style w:type="table" w:styleId="1217" w:customStyle="1">
    <w:name w:val="List Table 6 Colorful - Accent 5"/>
    <w:uiPriority w:val="99"/>
    <w:qFormat/>
    <w:tblPr>
      <w:tblCellMar>
        <w:left w:w="0" w:type="dxa"/>
        <w:top w:w="0" w:type="dxa"/>
        <w:right w:w="0" w:type="dxa"/>
        <w:bottom w:w="0" w:type="dxa"/>
      </w:tblCellMar>
    </w:tblPr>
  </w:style>
  <w:style w:type="table" w:styleId="1218" w:customStyle="1">
    <w:name w:val="List Table 6 Colorful - Accent 6"/>
    <w:uiPriority w:val="99"/>
    <w:qFormat/>
    <w:tblPr>
      <w:tblCellMar>
        <w:left w:w="0" w:type="dxa"/>
        <w:top w:w="0" w:type="dxa"/>
        <w:right w:w="0" w:type="dxa"/>
        <w:bottom w:w="0" w:type="dxa"/>
      </w:tblCellMar>
    </w:tblPr>
  </w:style>
  <w:style w:type="table" w:styleId="1219" w:customStyle="1">
    <w:name w:val="List Table 7 Colorful - Accent 1"/>
    <w:uiPriority w:val="99"/>
    <w:qFormat/>
    <w:tblPr>
      <w:tblCellMar>
        <w:left w:w="0" w:type="dxa"/>
        <w:top w:w="0" w:type="dxa"/>
        <w:right w:w="0" w:type="dxa"/>
        <w:bottom w:w="0" w:type="dxa"/>
      </w:tblCellMar>
    </w:tblPr>
  </w:style>
  <w:style w:type="table" w:styleId="1220" w:customStyle="1">
    <w:name w:val="List Table 7 Colorful - Accent 2"/>
    <w:uiPriority w:val="99"/>
    <w:qFormat/>
    <w:tblPr>
      <w:tblCellMar>
        <w:left w:w="0" w:type="dxa"/>
        <w:top w:w="0" w:type="dxa"/>
        <w:right w:w="0" w:type="dxa"/>
        <w:bottom w:w="0" w:type="dxa"/>
      </w:tblCellMar>
    </w:tblPr>
  </w:style>
  <w:style w:type="table" w:styleId="1221" w:customStyle="1">
    <w:name w:val="List Table 7 Colorful - Accent 3"/>
    <w:uiPriority w:val="99"/>
    <w:qFormat/>
    <w:tblPr>
      <w:tblCellMar>
        <w:left w:w="0" w:type="dxa"/>
        <w:top w:w="0" w:type="dxa"/>
        <w:right w:w="0" w:type="dxa"/>
        <w:bottom w:w="0" w:type="dxa"/>
      </w:tblCellMar>
    </w:tblPr>
  </w:style>
  <w:style w:type="table" w:styleId="1222" w:customStyle="1">
    <w:name w:val="List Table 7 Colorful - Accent 4"/>
    <w:uiPriority w:val="99"/>
    <w:qFormat/>
    <w:tblPr>
      <w:tblCellMar>
        <w:left w:w="0" w:type="dxa"/>
        <w:top w:w="0" w:type="dxa"/>
        <w:right w:w="0" w:type="dxa"/>
        <w:bottom w:w="0" w:type="dxa"/>
      </w:tblCellMar>
    </w:tblPr>
  </w:style>
  <w:style w:type="table" w:styleId="1223" w:customStyle="1">
    <w:name w:val="List Table 7 Colorful - Accent 5"/>
    <w:uiPriority w:val="99"/>
    <w:qFormat/>
    <w:tblPr>
      <w:tblCellMar>
        <w:left w:w="0" w:type="dxa"/>
        <w:top w:w="0" w:type="dxa"/>
        <w:right w:w="0" w:type="dxa"/>
        <w:bottom w:w="0" w:type="dxa"/>
      </w:tblCellMar>
    </w:tblPr>
  </w:style>
  <w:style w:type="table" w:styleId="1224" w:customStyle="1">
    <w:name w:val="List Table 7 Colorful - Accent 6"/>
    <w:uiPriority w:val="99"/>
    <w:qFormat/>
    <w:tblPr>
      <w:tblCellMar>
        <w:left w:w="0" w:type="dxa"/>
        <w:top w:w="0" w:type="dxa"/>
        <w:right w:w="0" w:type="dxa"/>
        <w:bottom w:w="0" w:type="dxa"/>
      </w:tblCellMar>
    </w:tblPr>
  </w:style>
  <w:style w:type="table" w:styleId="1225" w:customStyle="1">
    <w:name w:val="Lined - Accent"/>
    <w:uiPriority w:val="99"/>
    <w:qFormat/>
    <w:rPr>
      <w:color w:val="404040"/>
    </w:rPr>
    <w:tblPr>
      <w:tblCellMar>
        <w:left w:w="0" w:type="dxa"/>
        <w:top w:w="0" w:type="dxa"/>
        <w:right w:w="0" w:type="dxa"/>
        <w:bottom w:w="0" w:type="dxa"/>
      </w:tblCellMar>
    </w:tblPr>
  </w:style>
  <w:style w:type="table" w:styleId="1226" w:customStyle="1">
    <w:name w:val="Lined - Accent 1"/>
    <w:uiPriority w:val="99"/>
    <w:qFormat/>
    <w:rPr>
      <w:color w:val="404040"/>
    </w:rPr>
    <w:tblPr>
      <w:tblCellMar>
        <w:left w:w="0" w:type="dxa"/>
        <w:top w:w="0" w:type="dxa"/>
        <w:right w:w="0" w:type="dxa"/>
        <w:bottom w:w="0" w:type="dxa"/>
      </w:tblCellMar>
    </w:tblPr>
  </w:style>
  <w:style w:type="table" w:styleId="1227" w:customStyle="1">
    <w:name w:val="Lined - Accent 2"/>
    <w:uiPriority w:val="99"/>
    <w:qFormat/>
    <w:rPr>
      <w:color w:val="404040"/>
    </w:rPr>
    <w:tblPr>
      <w:tblCellMar>
        <w:left w:w="0" w:type="dxa"/>
        <w:top w:w="0" w:type="dxa"/>
        <w:right w:w="0" w:type="dxa"/>
        <w:bottom w:w="0" w:type="dxa"/>
      </w:tblCellMar>
    </w:tblPr>
  </w:style>
  <w:style w:type="table" w:styleId="1228" w:customStyle="1">
    <w:name w:val="Lined - Accent 3"/>
    <w:uiPriority w:val="99"/>
    <w:qFormat/>
    <w:rPr>
      <w:color w:val="404040"/>
    </w:rPr>
    <w:tblPr>
      <w:tblCellMar>
        <w:left w:w="0" w:type="dxa"/>
        <w:top w:w="0" w:type="dxa"/>
        <w:right w:w="0" w:type="dxa"/>
        <w:bottom w:w="0" w:type="dxa"/>
      </w:tblCellMar>
    </w:tblPr>
  </w:style>
  <w:style w:type="table" w:styleId="1229" w:customStyle="1">
    <w:name w:val="Lined - Accent 4"/>
    <w:uiPriority w:val="99"/>
    <w:qFormat/>
    <w:rPr>
      <w:color w:val="404040"/>
    </w:rPr>
    <w:tblPr>
      <w:tblCellMar>
        <w:left w:w="0" w:type="dxa"/>
        <w:top w:w="0" w:type="dxa"/>
        <w:right w:w="0" w:type="dxa"/>
        <w:bottom w:w="0" w:type="dxa"/>
      </w:tblCellMar>
    </w:tblPr>
  </w:style>
  <w:style w:type="table" w:styleId="1230" w:customStyle="1">
    <w:name w:val="Lined - Accent 5"/>
    <w:uiPriority w:val="99"/>
    <w:qFormat/>
    <w:rPr>
      <w:color w:val="404040"/>
    </w:rPr>
    <w:tblPr>
      <w:tblCellMar>
        <w:left w:w="0" w:type="dxa"/>
        <w:top w:w="0" w:type="dxa"/>
        <w:right w:w="0" w:type="dxa"/>
        <w:bottom w:w="0" w:type="dxa"/>
      </w:tblCellMar>
    </w:tblPr>
  </w:style>
  <w:style w:type="table" w:styleId="1231" w:customStyle="1">
    <w:name w:val="Lined - Accent 6"/>
    <w:uiPriority w:val="99"/>
    <w:qFormat/>
    <w:rPr>
      <w:color w:val="404040"/>
    </w:rPr>
    <w:tblPr>
      <w:tblCellMar>
        <w:left w:w="0" w:type="dxa"/>
        <w:top w:w="0" w:type="dxa"/>
        <w:right w:w="0" w:type="dxa"/>
        <w:bottom w:w="0" w:type="dxa"/>
      </w:tblCellMar>
    </w:tblPr>
  </w:style>
  <w:style w:type="table" w:styleId="1232" w:customStyle="1">
    <w:name w:val="Bordered &amp; Lined - Accent"/>
    <w:uiPriority w:val="99"/>
    <w:qFormat/>
    <w:rPr>
      <w:color w:val="404040"/>
    </w:rPr>
    <w:tblPr>
      <w:tblCellMar>
        <w:left w:w="0" w:type="dxa"/>
        <w:top w:w="0" w:type="dxa"/>
        <w:right w:w="0" w:type="dxa"/>
        <w:bottom w:w="0" w:type="dxa"/>
      </w:tblCellMar>
    </w:tblPr>
  </w:style>
  <w:style w:type="table" w:styleId="1233" w:customStyle="1">
    <w:name w:val="Bordered &amp; Lined - Accent 1"/>
    <w:uiPriority w:val="99"/>
    <w:qFormat/>
    <w:rPr>
      <w:color w:val="404040"/>
    </w:rPr>
    <w:tblPr>
      <w:tblCellMar>
        <w:left w:w="0" w:type="dxa"/>
        <w:top w:w="0" w:type="dxa"/>
        <w:right w:w="0" w:type="dxa"/>
        <w:bottom w:w="0" w:type="dxa"/>
      </w:tblCellMar>
    </w:tblPr>
  </w:style>
  <w:style w:type="table" w:styleId="1234" w:customStyle="1">
    <w:name w:val="Bordered &amp; Lined - Accent 2"/>
    <w:uiPriority w:val="99"/>
    <w:qFormat/>
    <w:rPr>
      <w:color w:val="404040"/>
    </w:rPr>
    <w:tblPr>
      <w:tblCellMar>
        <w:left w:w="0" w:type="dxa"/>
        <w:top w:w="0" w:type="dxa"/>
        <w:right w:w="0" w:type="dxa"/>
        <w:bottom w:w="0" w:type="dxa"/>
      </w:tblCellMar>
    </w:tblPr>
  </w:style>
  <w:style w:type="table" w:styleId="1235" w:customStyle="1">
    <w:name w:val="Bordered &amp; Lined - Accent 3"/>
    <w:uiPriority w:val="99"/>
    <w:qFormat/>
    <w:rPr>
      <w:color w:val="404040"/>
    </w:rPr>
    <w:tblPr>
      <w:tblCellMar>
        <w:left w:w="0" w:type="dxa"/>
        <w:top w:w="0" w:type="dxa"/>
        <w:right w:w="0" w:type="dxa"/>
        <w:bottom w:w="0" w:type="dxa"/>
      </w:tblCellMar>
    </w:tblPr>
  </w:style>
  <w:style w:type="table" w:styleId="1236" w:customStyle="1">
    <w:name w:val="Bordered &amp; Lined - Accent 4"/>
    <w:uiPriority w:val="99"/>
    <w:qFormat/>
    <w:rPr>
      <w:color w:val="404040"/>
    </w:rPr>
    <w:tblPr>
      <w:tblCellMar>
        <w:left w:w="0" w:type="dxa"/>
        <w:top w:w="0" w:type="dxa"/>
        <w:right w:w="0" w:type="dxa"/>
        <w:bottom w:w="0" w:type="dxa"/>
      </w:tblCellMar>
    </w:tblPr>
  </w:style>
  <w:style w:type="table" w:styleId="1237" w:customStyle="1">
    <w:name w:val="Bordered &amp; Lined - Accent 5"/>
    <w:uiPriority w:val="99"/>
    <w:qFormat/>
    <w:rPr>
      <w:color w:val="404040"/>
    </w:rPr>
    <w:tblPr>
      <w:tblCellMar>
        <w:left w:w="0" w:type="dxa"/>
        <w:top w:w="0" w:type="dxa"/>
        <w:right w:w="0" w:type="dxa"/>
        <w:bottom w:w="0" w:type="dxa"/>
      </w:tblCellMar>
    </w:tblPr>
  </w:style>
  <w:style w:type="table" w:styleId="1238" w:customStyle="1">
    <w:name w:val="Bordered &amp; Lined - Accent 6"/>
    <w:uiPriority w:val="99"/>
    <w:qFormat/>
    <w:rPr>
      <w:color w:val="404040"/>
    </w:rPr>
    <w:tblPr>
      <w:tblCellMar>
        <w:left w:w="0" w:type="dxa"/>
        <w:top w:w="0" w:type="dxa"/>
        <w:right w:w="0" w:type="dxa"/>
        <w:bottom w:w="0" w:type="dxa"/>
      </w:tblCellMar>
    </w:tblPr>
  </w:style>
  <w:style w:type="table" w:styleId="1239" w:customStyle="1">
    <w:name w:val="Bordered"/>
    <w:uiPriority w:val="99"/>
    <w:qFormat/>
    <w:tblPr>
      <w:tblCellMar>
        <w:left w:w="0" w:type="dxa"/>
        <w:top w:w="0" w:type="dxa"/>
        <w:right w:w="0" w:type="dxa"/>
        <w:bottom w:w="0" w:type="dxa"/>
      </w:tblCellMar>
    </w:tblPr>
  </w:style>
  <w:style w:type="table" w:styleId="1240" w:customStyle="1">
    <w:name w:val="Bordered - Accent 1"/>
    <w:uiPriority w:val="99"/>
    <w:qFormat/>
    <w:tblPr>
      <w:tblCellMar>
        <w:left w:w="0" w:type="dxa"/>
        <w:top w:w="0" w:type="dxa"/>
        <w:right w:w="0" w:type="dxa"/>
        <w:bottom w:w="0" w:type="dxa"/>
      </w:tblCellMar>
    </w:tblPr>
  </w:style>
  <w:style w:type="table" w:styleId="1241" w:customStyle="1">
    <w:name w:val="Bordered - Accent 2"/>
    <w:uiPriority w:val="99"/>
    <w:qFormat/>
    <w:tblPr>
      <w:tblCellMar>
        <w:left w:w="0" w:type="dxa"/>
        <w:top w:w="0" w:type="dxa"/>
        <w:right w:w="0" w:type="dxa"/>
        <w:bottom w:w="0" w:type="dxa"/>
      </w:tblCellMar>
    </w:tblPr>
  </w:style>
  <w:style w:type="table" w:styleId="1242" w:customStyle="1">
    <w:name w:val="Bordered - Accent 3"/>
    <w:uiPriority w:val="99"/>
    <w:qFormat/>
    <w:tblPr>
      <w:tblCellMar>
        <w:left w:w="0" w:type="dxa"/>
        <w:top w:w="0" w:type="dxa"/>
        <w:right w:w="0" w:type="dxa"/>
        <w:bottom w:w="0" w:type="dxa"/>
      </w:tblCellMar>
    </w:tblPr>
  </w:style>
  <w:style w:type="table" w:styleId="1243" w:customStyle="1">
    <w:name w:val="Bordered - Accent 4"/>
    <w:uiPriority w:val="99"/>
    <w:qFormat/>
    <w:tblPr>
      <w:tblCellMar>
        <w:left w:w="0" w:type="dxa"/>
        <w:top w:w="0" w:type="dxa"/>
        <w:right w:w="0" w:type="dxa"/>
        <w:bottom w:w="0" w:type="dxa"/>
      </w:tblCellMar>
    </w:tblPr>
  </w:style>
  <w:style w:type="table" w:styleId="1244" w:customStyle="1">
    <w:name w:val="Bordered - Accent 5"/>
    <w:uiPriority w:val="99"/>
    <w:qFormat/>
    <w:tblPr>
      <w:tblCellMar>
        <w:left w:w="0" w:type="dxa"/>
        <w:top w:w="0" w:type="dxa"/>
        <w:right w:w="0" w:type="dxa"/>
        <w:bottom w:w="0" w:type="dxa"/>
      </w:tblCellMar>
    </w:tblPr>
  </w:style>
  <w:style w:type="table" w:styleId="1245" w:customStyle="1">
    <w:name w:val="Bordered - Accent 6"/>
    <w:uiPriority w:val="99"/>
    <w:qFormat/>
    <w:tblPr>
      <w:tblCellMar>
        <w:left w:w="0" w:type="dxa"/>
        <w:top w:w="0" w:type="dxa"/>
        <w:right w:w="0" w:type="dxa"/>
        <w:bottom w:w="0" w:type="dxa"/>
      </w:tblCellMar>
    </w:tblPr>
  </w:style>
  <w:style w:type="paragraph" w:styleId="1246" w:customStyle="1">
    <w:name w:val="TOC 标题11"/>
    <w:uiPriority w:val="39"/>
    <w:unhideWhenUsed/>
    <w:qFormat/>
    <w:rPr>
      <w:rFonts w:ascii="Times New Roman" w:hAnsi="Times New Roman" w:eastAsia="宋体" w:cs="Times New Roman"/>
      <w:lang w:val="en-US" w:eastAsia="zh-CN" w:bidi="ar-SA"/>
    </w:rPr>
  </w:style>
  <w:style w:type="character" w:styleId="1247" w:customStyle="1">
    <w:name w:val="正文文本首行缩进 字符"/>
    <w:uiPriority w:val="0"/>
    <w:qFormat/>
    <w:rPr>
      <w:rFonts w:eastAsia="楷体_GB2312"/>
      <w:sz w:val="26"/>
    </w:rPr>
  </w:style>
  <w:style w:type="character" w:styleId="1248" w:customStyle="1">
    <w:name w:val="Char Char4"/>
    <w:uiPriority w:val="0"/>
    <w:qFormat/>
    <w:rPr>
      <w:rFonts w:ascii="方正仿宋简体" w:hAnsi="创艺简仿宋" w:eastAsia="方正仿宋简体"/>
      <w:sz w:val="24"/>
      <w:lang w:val="en-US" w:eastAsia="zh-CN" w:bidi="ar-SA"/>
    </w:rPr>
  </w:style>
  <w:style w:type="character" w:styleId="1249" w:customStyle="1">
    <w:name w:val="state"/>
    <w:uiPriority w:val="0"/>
    <w:qFormat/>
    <w:rPr>
      <w:b/>
      <w:color w:val="ffffff"/>
      <w:sz w:val="19"/>
      <w:szCs w:val="19"/>
    </w:rPr>
  </w:style>
  <w:style w:type="character" w:styleId="1250" w:customStyle="1">
    <w:name w:val="bds_more6"/>
    <w:uiPriority w:val="0"/>
    <w:qFormat/>
  </w:style>
  <w:style w:type="character" w:styleId="1251" w:customStyle="1">
    <w:name w:val="hilite"/>
    <w:uiPriority w:val="0"/>
    <w:qFormat/>
    <w:rPr>
      <w:color w:val="ffffff"/>
      <w:shd w:val="clear" w:color="auto" w:fill="776666"/>
    </w:rPr>
  </w:style>
  <w:style w:type="character" w:styleId="1252" w:customStyle="1">
    <w:name w:val="bds_nopic"/>
    <w:uiPriority w:val="0"/>
    <w:qFormat/>
  </w:style>
  <w:style w:type="character" w:styleId="1253" w:customStyle="1">
    <w:name w:val="Char Char2"/>
    <w:uiPriority w:val="0"/>
    <w:qFormat/>
    <w:rPr>
      <w:rFonts w:ascii="宋体" w:hAnsi="宋体" w:eastAsia="楷体_GB2312"/>
      <w:b/>
      <w:sz w:val="26"/>
      <w:lang w:val="en-US" w:eastAsia="zh-CN" w:bidi="ar-SA"/>
    </w:rPr>
  </w:style>
  <w:style w:type="character" w:styleId="1254" w:customStyle="1">
    <w:name w:val="hover61"/>
    <w:uiPriority w:val="0"/>
    <w:qFormat/>
    <w:rPr>
      <w:shd w:val="clear" w:color="auto" w:fill="ff0000"/>
    </w:rPr>
  </w:style>
  <w:style w:type="character" w:styleId="1255" w:customStyle="1">
    <w:name w:val="font51"/>
    <w:uiPriority w:val="99"/>
    <w:qFormat/>
    <w:rPr>
      <w:rFonts w:hint="eastAsia" w:ascii="宋体" w:hAnsi="宋体" w:eastAsia="宋体" w:cs="宋体"/>
      <w:color w:val="ff0000"/>
      <w:sz w:val="20"/>
      <w:szCs w:val="20"/>
      <w:u w:val="none"/>
    </w:rPr>
  </w:style>
  <w:style w:type="character" w:styleId="1256" w:customStyle="1">
    <w:name w:val="grid"/>
    <w:uiPriority w:val="0"/>
    <w:qFormat/>
  </w:style>
  <w:style w:type="character" w:styleId="1257" w:customStyle="1">
    <w:name w:val="bds_more7"/>
    <w:uiPriority w:val="0"/>
    <w:qFormat/>
  </w:style>
  <w:style w:type="character" w:styleId="1258" w:customStyle="1">
    <w:name w:val="bds_more8"/>
    <w:uiPriority w:val="0"/>
    <w:qFormat/>
    <w:rPr>
      <w:rFonts w:hint="eastAsia" w:ascii="宋体" w:hAnsi="宋体" w:eastAsia="宋体" w:cs="宋体"/>
    </w:rPr>
  </w:style>
  <w:style w:type="character" w:styleId="1259" w:customStyle="1">
    <w:name w:val="bds_more4"/>
    <w:uiPriority w:val="0"/>
    <w:qFormat/>
    <w:rPr>
      <w:rFonts w:hint="eastAsia" w:ascii="宋体" w:hAnsi="宋体" w:eastAsia="宋体" w:cs="宋体"/>
    </w:rPr>
  </w:style>
  <w:style w:type="character" w:styleId="1260" w:customStyle="1">
    <w:name w:val="bds_nopic1"/>
    <w:uiPriority w:val="0"/>
    <w:qFormat/>
  </w:style>
  <w:style w:type="character" w:styleId="1261" w:customStyle="1">
    <w:name w:val="hilite6"/>
    <w:uiPriority w:val="0"/>
    <w:qFormat/>
    <w:rPr>
      <w:color w:val="ffffff"/>
      <w:shd w:val="clear" w:color="auto" w:fill="776666"/>
    </w:rPr>
  </w:style>
  <w:style w:type="character" w:styleId="1262" w:customStyle="1">
    <w:name w:val="正文缩进2格 Char Char"/>
    <w:link w:val="1263"/>
    <w:uiPriority w:val="0"/>
    <w:qFormat/>
    <w:rPr>
      <w:rFonts w:ascii="仿宋_GB2312" w:hAnsi="宋体" w:eastAsia="仿宋_GB2312"/>
      <w:sz w:val="31"/>
      <w:szCs w:val="28"/>
    </w:rPr>
  </w:style>
  <w:style w:type="paragraph" w:styleId="1263" w:customStyle="1">
    <w:name w:val="正文缩进2格"/>
    <w:basedOn w:val="912"/>
    <w:link w:val="1262"/>
    <w:uiPriority w:val="0"/>
    <w:qFormat/>
    <w:pPr>
      <w:ind w:firstLine="639"/>
      <w:spacing w:line="600" w:lineRule="exact"/>
    </w:pPr>
    <w:rPr>
      <w:rFonts w:ascii="仿宋_GB2312" w:hAnsi="宋体" w:eastAsia="仿宋_GB2312"/>
      <w:sz w:val="31"/>
      <w:szCs w:val="28"/>
    </w:rPr>
  </w:style>
  <w:style w:type="character" w:styleId="1264" w:customStyle="1">
    <w:name w:val="grid2"/>
    <w:uiPriority w:val="0"/>
    <w:qFormat/>
  </w:style>
  <w:style w:type="character" w:styleId="1265" w:customStyle="1">
    <w:name w:val="other"/>
    <w:uiPriority w:val="0"/>
    <w:qFormat/>
  </w:style>
  <w:style w:type="character" w:styleId="1266" w:customStyle="1">
    <w:name w:val="font01"/>
    <w:uiPriority w:val="0"/>
    <w:qFormat/>
    <w:rPr>
      <w:rFonts w:hint="eastAsia" w:ascii="宋体" w:hAnsi="宋体" w:eastAsia="宋体" w:cs="宋体"/>
      <w:b/>
      <w:color w:val="000000"/>
      <w:sz w:val="20"/>
      <w:szCs w:val="20"/>
      <w:u w:val="none"/>
    </w:rPr>
  </w:style>
  <w:style w:type="character" w:styleId="1267" w:customStyle="1">
    <w:name w:val="noused"/>
    <w:uiPriority w:val="0"/>
    <w:qFormat/>
    <w:rPr>
      <w:b/>
      <w:color w:val="ffffff"/>
      <w:sz w:val="21"/>
      <w:szCs w:val="21"/>
    </w:rPr>
  </w:style>
  <w:style w:type="character" w:styleId="1268" w:customStyle="1">
    <w:name w:val="active8"/>
    <w:uiPriority w:val="0"/>
    <w:qFormat/>
    <w:rPr>
      <w:color w:val="00ff00"/>
      <w:shd w:val="clear" w:color="auto" w:fill="000000"/>
    </w:rPr>
  </w:style>
  <w:style w:type="character" w:styleId="1269" w:customStyle="1">
    <w:name w:val="font61"/>
    <w:uiPriority w:val="0"/>
    <w:qFormat/>
    <w:rPr>
      <w:rFonts w:hint="eastAsia" w:ascii="宋体" w:hAnsi="宋体" w:eastAsia="宋体" w:cs="宋体"/>
      <w:color w:val="000000"/>
      <w:sz w:val="20"/>
      <w:szCs w:val="20"/>
      <w:u w:val="none"/>
    </w:rPr>
  </w:style>
  <w:style w:type="character" w:styleId="1270" w:customStyle="1">
    <w:name w:val="bds_more5"/>
    <w:uiPriority w:val="0"/>
    <w:qFormat/>
  </w:style>
  <w:style w:type="character" w:styleId="1271" w:customStyle="1">
    <w:name w:val="bds_nopic2"/>
    <w:uiPriority w:val="0"/>
    <w:qFormat/>
  </w:style>
  <w:style w:type="character" w:styleId="1272" w:customStyle="1">
    <w:name w:val="active"/>
    <w:uiPriority w:val="0"/>
    <w:qFormat/>
    <w:rPr>
      <w:color w:val="00ff00"/>
      <w:shd w:val="clear" w:color="auto" w:fill="000000"/>
    </w:rPr>
  </w:style>
  <w:style w:type="character" w:styleId="1273" w:customStyle="1">
    <w:name w:val="font41"/>
    <w:uiPriority w:val="0"/>
    <w:qFormat/>
    <w:rPr>
      <w:rFonts w:hint="eastAsia" w:ascii="宋体" w:hAnsi="宋体" w:eastAsia="宋体" w:cs="宋体"/>
      <w:color w:val="000000"/>
      <w:sz w:val="20"/>
      <w:szCs w:val="20"/>
      <w:u w:val="none"/>
    </w:rPr>
  </w:style>
  <w:style w:type="character" w:styleId="1274" w:customStyle="1">
    <w:name w:val="font11"/>
    <w:uiPriority w:val="0"/>
    <w:qFormat/>
    <w:rPr>
      <w:rFonts w:ascii="宋体" w:hAnsi="宋体" w:eastAsia="宋体"/>
      <w:color w:val="000000"/>
      <w:sz w:val="28"/>
      <w:u w:val="none"/>
    </w:rPr>
  </w:style>
  <w:style w:type="character" w:styleId="1275" w:customStyle="1">
    <w:name w:val="font81"/>
    <w:uiPriority w:val="0"/>
    <w:qFormat/>
    <w:rPr>
      <w:rFonts w:ascii="宋体" w:hAnsi="宋体" w:eastAsia="宋体"/>
      <w:b/>
      <w:color w:val="000000"/>
      <w:sz w:val="18"/>
      <w:u w:val="none"/>
    </w:rPr>
  </w:style>
  <w:style w:type="character" w:styleId="1276" w:customStyle="1">
    <w:name w:val="font71"/>
    <w:uiPriority w:val="0"/>
    <w:qFormat/>
    <w:rPr>
      <w:rFonts w:hint="eastAsia" w:ascii="宋体" w:hAnsi="宋体" w:eastAsia="宋体" w:cs="宋体"/>
      <w:color w:val="000000"/>
      <w:sz w:val="20"/>
      <w:szCs w:val="20"/>
      <w:u w:val="none"/>
      <w:vertAlign w:val="superscript"/>
    </w:rPr>
  </w:style>
  <w:style w:type="character" w:styleId="1277" w:customStyle="1">
    <w:name w:val="正文文本缩进 Char1"/>
    <w:uiPriority w:val="0"/>
    <w:qFormat/>
    <w:rPr>
      <w:rFonts w:eastAsia="楷体_GB2312"/>
      <w:sz w:val="26"/>
    </w:rPr>
  </w:style>
  <w:style w:type="character" w:styleId="1278"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279" w:customStyle="1">
    <w:name w:val="日期 Char1"/>
    <w:uiPriority w:val="0"/>
    <w:qFormat/>
    <w:rPr>
      <w:rFonts w:eastAsia="楷体_GB2312"/>
      <w:sz w:val="26"/>
      <w:szCs w:val="26"/>
    </w:rPr>
  </w:style>
  <w:style w:type="character" w:styleId="1280" w:customStyle="1">
    <w:name w:val="Balloon Text Char"/>
    <w:uiPriority w:val="0"/>
    <w:semiHidden/>
    <w:qFormat/>
    <w:rPr>
      <w:rFonts w:eastAsia="宋体"/>
      <w:sz w:val="18"/>
      <w:lang w:val="en-US" w:eastAsia="zh-CN"/>
    </w:rPr>
  </w:style>
  <w:style w:type="character" w:styleId="1281" w:customStyle="1">
    <w:name w:val="font21"/>
    <w:uiPriority w:val="0"/>
    <w:qFormat/>
    <w:rPr>
      <w:rFonts w:hint="eastAsia" w:ascii="宋体" w:hAnsi="宋体" w:eastAsia="宋体" w:cs="宋体"/>
      <w:b/>
      <w:color w:val="000000"/>
      <w:sz w:val="20"/>
      <w:szCs w:val="20"/>
      <w:u w:val="none"/>
    </w:rPr>
  </w:style>
  <w:style w:type="character" w:styleId="1282" w:customStyle="1">
    <w:name w:val="font31"/>
    <w:uiPriority w:val="0"/>
    <w:qFormat/>
    <w:rPr>
      <w:rFonts w:ascii="宋体" w:hAnsi="宋体" w:eastAsia="宋体"/>
      <w:color w:val="000000"/>
      <w:sz w:val="20"/>
      <w:u w:val="none"/>
    </w:rPr>
  </w:style>
  <w:style w:type="character" w:styleId="1283" w:customStyle="1">
    <w:name w:val="Body Text Indent Char"/>
    <w:uiPriority w:val="0"/>
    <w:qFormat/>
    <w:rPr>
      <w:rFonts w:ascii="方正仿宋简体" w:hAnsi="创艺简仿宋" w:eastAsia="方正仿宋简体"/>
      <w:sz w:val="24"/>
    </w:rPr>
  </w:style>
  <w:style w:type="character" w:styleId="1284" w:customStyle="1">
    <w:name w:val="Header Char1"/>
    <w:uiPriority w:val="0"/>
    <w:qFormat/>
    <w:rPr>
      <w:rFonts w:eastAsia="楷体_GB2312"/>
      <w:sz w:val="18"/>
    </w:rPr>
  </w:style>
  <w:style w:type="character" w:styleId="1285" w:customStyle="1">
    <w:name w:val="正文文本缩进 Char2"/>
    <w:uiPriority w:val="0"/>
    <w:qFormat/>
    <w:rPr>
      <w:rFonts w:eastAsia="楷体_GB2312"/>
      <w:sz w:val="26"/>
      <w:szCs w:val="26"/>
    </w:rPr>
  </w:style>
  <w:style w:type="character" w:styleId="1286" w:customStyle="1">
    <w:name w:val="NormalCharacter1"/>
    <w:uiPriority w:val="0"/>
    <w:qFormat/>
  </w:style>
  <w:style w:type="paragraph" w:styleId="1287" w:customStyle="1">
    <w:name w:val="列出段落1"/>
    <w:basedOn w:val="912"/>
    <w:uiPriority w:val="0"/>
    <w:qFormat/>
    <w:pPr>
      <w:ind w:firstLine="420"/>
    </w:pPr>
    <w:rPr>
      <w:rFonts w:ascii="Calibri" w:hAnsi="Calibri" w:eastAsia="宋体" w:cs="黑体"/>
      <w:szCs w:val="22"/>
    </w:rPr>
  </w:style>
  <w:style w:type="paragraph" w:styleId="1288" w:customStyle="1">
    <w:name w:val="p0"/>
    <w:basedOn w:val="912"/>
    <w:uiPriority w:val="0"/>
    <w:qFormat/>
    <w:pPr>
      <w:widowControl/>
    </w:pPr>
    <w:rPr>
      <w:rFonts w:eastAsia="宋体"/>
      <w:sz w:val="21"/>
      <w:szCs w:val="21"/>
    </w:rPr>
  </w:style>
  <w:style w:type="paragraph" w:styleId="1289" w:customStyle="1">
    <w:name w:val="Char Char1 Char Char Char Char"/>
    <w:basedOn w:val="1028"/>
    <w:uiPriority w:val="0"/>
    <w:qFormat/>
    <w:pPr>
      <w:spacing w:line="360" w:lineRule="auto"/>
    </w:pPr>
    <w:rPr>
      <w:rFonts w:ascii="Tahoma" w:hAnsi="Tahoma" w:eastAsia="宋体"/>
      <w:sz w:val="24"/>
      <w:szCs w:val="24"/>
    </w:rPr>
  </w:style>
  <w:style w:type="paragraph" w:styleId="1290" w:customStyle="1">
    <w:name w:val="Char Char1 Char Char Char Char Char Char Char"/>
    <w:basedOn w:val="912"/>
    <w:uiPriority w:val="0"/>
    <w:qFormat/>
    <w:rPr>
      <w:rFonts w:ascii="Tahoma" w:hAnsi="Tahoma"/>
      <w:sz w:val="24"/>
    </w:rPr>
  </w:style>
  <w:style w:type="paragraph" w:styleId="1291" w:customStyle="1">
    <w:name w:val="Char"/>
    <w:basedOn w:val="912"/>
    <w:uiPriority w:val="0"/>
    <w:qFormat/>
    <w:pPr>
      <w:jc w:val="left"/>
      <w:spacing w:after="160" w:line="240" w:lineRule="exact"/>
      <w:widowControl/>
    </w:pPr>
    <w:rPr>
      <w:rFonts w:ascii="Verdana" w:hAnsi="Verdana" w:eastAsia="宋体"/>
      <w:sz w:val="21"/>
      <w:lang w:eastAsia="en-US"/>
    </w:rPr>
  </w:style>
  <w:style w:type="paragraph" w:styleId="1292" w:customStyle="1">
    <w:name w:val="Char1"/>
    <w:basedOn w:val="912"/>
    <w:uiPriority w:val="0"/>
    <w:qFormat/>
    <w:rPr>
      <w:rFonts w:ascii="Tahoma" w:hAnsi="Tahoma" w:eastAsia="宋体"/>
      <w:sz w:val="24"/>
    </w:rPr>
  </w:style>
  <w:style w:type="paragraph" w:styleId="1293" w:customStyle="1">
    <w:name w:val="图"/>
    <w:basedOn w:val="912"/>
    <w:uiPriority w:val="0"/>
    <w:qFormat/>
    <w:pPr>
      <w:jc w:val="center"/>
      <w:keepNext/>
      <w:spacing w:before="60" w:after="60" w:line="300" w:lineRule="auto"/>
    </w:pPr>
    <w:rPr>
      <w:rFonts w:eastAsia="宋体"/>
      <w:spacing w:val="20"/>
      <w:sz w:val="24"/>
    </w:rPr>
  </w:style>
  <w:style w:type="paragraph" w:styleId="1294" w:customStyle="1">
    <w:name w:val="纯文本2"/>
    <w:basedOn w:val="912"/>
    <w:uiPriority w:val="0"/>
    <w:qFormat/>
    <w:rPr>
      <w:rFonts w:ascii="宋体" w:hAnsi="Courier New"/>
    </w:rPr>
  </w:style>
  <w:style w:type="paragraph" w:styleId="1295" w:customStyle="1">
    <w:name w:val="Table Paragraph"/>
    <w:basedOn w:val="912"/>
    <w:uiPriority w:val="1"/>
    <w:qFormat/>
    <w:rPr>
      <w:rFonts w:ascii="仿宋" w:hAnsi="仿宋" w:eastAsia="仿宋" w:cs="仿宋"/>
      <w:sz w:val="21"/>
      <w:szCs w:val="22"/>
      <w:lang w:val="zh-CN" w:bidi="zh-CN"/>
    </w:rPr>
  </w:style>
  <w:style w:type="paragraph" w:styleId="1296" w:customStyle="1">
    <w:name w:val="xl107"/>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7" w:customStyle="1">
    <w:name w:val="font10"/>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298" w:customStyle="1">
    <w:name w:val="xl108"/>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9" w:customStyle="1">
    <w:name w:val="xl127"/>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0" w:customStyle="1">
    <w:name w:val="xl124"/>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1" w:customStyle="1">
    <w:name w:val="font7"/>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02" w:customStyle="1">
    <w:name w:val="xl162"/>
    <w:basedOn w:val="9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03" w:customStyle="1">
    <w:name w:val="xl123"/>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4" w:customStyle="1">
    <w:name w:val="xl113"/>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05" w:customStyle="1">
    <w:name w:val="font12"/>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06" w:customStyle="1">
    <w:name w:val="xl145"/>
    <w:basedOn w:val="9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07" w:customStyle="1">
    <w:name w:val="font22"/>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08" w:customStyle="1">
    <w:name w:val="xl157"/>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09" w:customStyle="1">
    <w:name w:val="xl156"/>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10" w:customStyle="1">
    <w:name w:val="xl111"/>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1" w:customStyle="1">
    <w:name w:val="xl143"/>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2" w:customStyle="1">
    <w:name w:val="xl128"/>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3" w:customStyle="1">
    <w:name w:val="xl138"/>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4" w:customStyle="1">
    <w:name w:val="xl152"/>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5" w:customStyle="1">
    <w:name w:val="xl117"/>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6" w:customStyle="1">
    <w:name w:val="xl149"/>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7" w:customStyle="1">
    <w:name w:val="xl154"/>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8" w:customStyle="1">
    <w:name w:val="xl146"/>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9" w:customStyle="1">
    <w:name w:val="xl122"/>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0" w:customStyle="1">
    <w:name w:val="font8"/>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21" w:customStyle="1">
    <w:name w:val="xl142"/>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2" w:customStyle="1">
    <w:name w:val="xl125"/>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3" w:customStyle="1">
    <w:name w:val="font6"/>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24" w:customStyle="1">
    <w:name w:val="xl126"/>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5" w:customStyle="1">
    <w:name w:val="xl105"/>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6" w:customStyle="1">
    <w:name w:val="xl109"/>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7" w:customStyle="1">
    <w:name w:val="xl136"/>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8" w:customStyle="1">
    <w:name w:val="xl101"/>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29" w:customStyle="1">
    <w:name w:val="列出段落11"/>
    <w:basedOn w:val="912"/>
    <w:uiPriority w:val="34"/>
    <w:qFormat/>
    <w:pPr>
      <w:ind w:firstLine="420"/>
    </w:pPr>
    <w:rPr>
      <w:rFonts w:ascii="Calibri" w:hAnsi="Calibri" w:eastAsia="宋体"/>
      <w:szCs w:val="26"/>
    </w:rPr>
  </w:style>
  <w:style w:type="paragraph" w:styleId="1330" w:customStyle="1">
    <w:name w:val="font15"/>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31" w:customStyle="1">
    <w:name w:val="xl161"/>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32" w:customStyle="1">
    <w:name w:val="xl141"/>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3" w:customStyle="1">
    <w:name w:val="xl118"/>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34" w:customStyle="1">
    <w:name w:val="xl153"/>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35" w:customStyle="1">
    <w:name w:val="xl133"/>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6" w:customStyle="1">
    <w:name w:val="font17"/>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37" w:customStyle="1">
    <w:name w:val="xl140"/>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8" w:customStyle="1">
    <w:name w:val="xl159"/>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9" w:customStyle="1">
    <w:name w:val="xl103"/>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0" w:customStyle="1">
    <w:name w:val="xl120"/>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1" w:customStyle="1">
    <w:name w:val="xl148"/>
    <w:basedOn w:val="9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2" w:customStyle="1">
    <w:name w:val="xl150"/>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43" w:customStyle="1">
    <w:name w:val="xl110"/>
    <w:basedOn w:val="9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4" w:customStyle="1">
    <w:name w:val="正文1"/>
    <w:uiPriority w:val="0"/>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345" w:customStyle="1">
    <w:name w:val="xl132"/>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6" w:customStyle="1">
    <w:name w:val="font16"/>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47" w:customStyle="1">
    <w:name w:val="Normal_20"/>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348" w:customStyle="1">
    <w:name w:val="xl114"/>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49" w:customStyle="1">
    <w:name w:val="xl131"/>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0" w:customStyle="1">
    <w:name w:val="_Style 7"/>
    <w:basedOn w:val="912"/>
    <w:uiPriority w:val="0"/>
    <w:qFormat/>
    <w:pPr>
      <w:ind w:firstLine="420"/>
    </w:pPr>
    <w:rPr>
      <w:rFonts w:eastAsia="宋体"/>
      <w:szCs w:val="26"/>
    </w:rPr>
  </w:style>
  <w:style w:type="paragraph" w:styleId="1351" w:customStyle="1">
    <w:name w:val="xl106"/>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2" w:customStyle="1">
    <w:name w:val="xl137"/>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3" w:customStyle="1">
    <w:name w:val="font14"/>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54" w:customStyle="1">
    <w:name w:val="xl100"/>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55" w:customStyle="1">
    <w:name w:val="xl99"/>
    <w:basedOn w:val="912"/>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356" w:customStyle="1">
    <w:name w:val="xl151"/>
    <w:basedOn w:val="9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7" w:customStyle="1">
    <w:name w:val="_Style 26"/>
    <w:next w:val="912"/>
    <w:uiPriority w:val="99"/>
    <w:qFormat/>
    <w:pPr>
      <w:jc w:val="both"/>
      <w:widowControl w:val="off"/>
    </w:pPr>
    <w:rPr>
      <w:rFonts w:ascii="Times New Roman" w:hAnsi="Times New Roman" w:eastAsia="楷体_GB2312" w:cs="Times New Roman"/>
      <w:sz w:val="26"/>
      <w:szCs w:val="26"/>
      <w:lang w:val="en-US" w:eastAsia="zh-CN" w:bidi="ar-SA"/>
    </w:rPr>
  </w:style>
  <w:style w:type="paragraph" w:styleId="1358" w:customStyle="1">
    <w:name w:val="样式 标题 1 + 宋体 段前: 0 磅 段后: 0 磅 行距: 单倍行距"/>
    <w:basedOn w:val="1008"/>
    <w:next w:val="912"/>
    <w:uiPriority w:val="0"/>
    <w:qFormat/>
    <w:pPr>
      <w:jc w:val="center"/>
      <w:spacing w:line="240" w:lineRule="auto"/>
    </w:pPr>
    <w:rPr>
      <w:rFonts w:ascii="仿宋_GB2312" w:hAnsi="宋体" w:eastAsia="仿宋_GB2312" w:cs="宋体"/>
      <w:bCs/>
      <w:szCs w:val="44"/>
    </w:rPr>
  </w:style>
  <w:style w:type="paragraph" w:styleId="1359" w:customStyle="1">
    <w:name w:val="font9"/>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60" w:customStyle="1">
    <w:name w:val="font20"/>
    <w:basedOn w:val="912"/>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361" w:customStyle="1">
    <w:name w:val="font13"/>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62" w:customStyle="1">
    <w:name w:val="xl102"/>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63" w:customStyle="1">
    <w:name w:val="xl116"/>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4" w:customStyle="1">
    <w:name w:val="xl134"/>
    <w:basedOn w:val="9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5" w:customStyle="1">
    <w:name w:val="font18"/>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66" w:customStyle="1">
    <w:name w:val="xl121"/>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7" w:customStyle="1">
    <w:name w:val="xl158"/>
    <w:basedOn w:val="912"/>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368" w:customStyle="1">
    <w:name w:val="xl119"/>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9" w:customStyle="1">
    <w:name w:val="xl135"/>
    <w:basedOn w:val="9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70" w:customStyle="1">
    <w:name w:val="font5"/>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71" w:customStyle="1">
    <w:name w:val="xl155"/>
    <w:basedOn w:val="9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72" w:customStyle="1">
    <w:name w:val="font19"/>
    <w:basedOn w:val="912"/>
    <w:uiPriority w:val="0"/>
    <w:qFormat/>
    <w:pPr>
      <w:jc w:val="left"/>
      <w:spacing w:before="100" w:beforeAutospacing="1" w:after="100" w:afterAutospacing="1"/>
      <w:widowControl/>
    </w:pPr>
    <w:rPr>
      <w:rFonts w:ascii="宋体" w:hAnsi="宋体" w:eastAsia="宋体" w:cs="宋体"/>
      <w:sz w:val="18"/>
      <w:szCs w:val="18"/>
    </w:rPr>
  </w:style>
  <w:style w:type="paragraph" w:styleId="1373" w:customStyle="1">
    <w:name w:val="xl160"/>
    <w:basedOn w:val="9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74" w:customStyle="1">
    <w:name w:val="xl112"/>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5" w:customStyle="1">
    <w:name w:val="xl104"/>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6" w:customStyle="1">
    <w:name w:val="xl139"/>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77" w:customStyle="1">
    <w:name w:val="xl130"/>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78" w:customStyle="1">
    <w:name w:val="xl129"/>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79" w:customStyle="1">
    <w:name w:val="xl115"/>
    <w:basedOn w:val="9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80" w:customStyle="1">
    <w:name w:val="xl147"/>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1" w:customStyle="1">
    <w:name w:val="xl144"/>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82" w:customStyle="1">
    <w:name w:val="网格型1"/>
    <w:basedOn w:val="1024"/>
    <w:uiPriority w:val="0"/>
    <w:qFormat/>
    <w:pPr>
      <w:jc w:val="both"/>
      <w:widowControl w:val="off"/>
    </w:pPr>
    <w:tblPr/>
  </w:style>
  <w:style w:type="character" w:styleId="1383" w:customStyle="1">
    <w:name w:val="纯文本 字符"/>
    <w:uiPriority w:val="0"/>
    <w:qFormat/>
    <w:rPr>
      <w:rFonts w:ascii="宋体" w:hAnsi="Courier New" w:eastAsia="楷体_GB2312"/>
      <w:sz w:val="26"/>
      <w:lang w:val="en-US" w:eastAsia="zh-CN" w:bidi="ar-SA"/>
    </w:rPr>
  </w:style>
  <w:style w:type="paragraph" w:styleId="1384" w:customStyle="1">
    <w:name w:val="_Style 225"/>
    <w:uiPriority w:val="0"/>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385" w:customStyle="1">
    <w:name w:val="正文文本 字符"/>
    <w:uiPriority w:val="0"/>
    <w:qFormat/>
    <w:rPr>
      <w:rFonts w:ascii="楷体_GB2312" w:eastAsia="楷体_GB2312"/>
      <w:sz w:val="28"/>
    </w:rPr>
  </w:style>
  <w:style w:type="character" w:styleId="1386" w:customStyle="1">
    <w:name w:val="正文文本 字符1"/>
    <w:uiPriority w:val="0"/>
    <w:qFormat/>
    <w:rPr>
      <w:rFonts w:ascii="楷体_GB2312" w:eastAsia="楷体_GB2312"/>
      <w:sz w:val="28"/>
    </w:rPr>
  </w:style>
  <w:style w:type="table" w:styleId="1387"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88"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89"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90"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391" w:customStyle="1">
    <w:name w:val="UserStyle_2"/>
    <w:link w:val="1392"/>
    <w:uiPriority w:val="0"/>
    <w:qFormat/>
    <w:rPr>
      <w:rFonts w:ascii="宋体" w:hAnsi="宋体"/>
      <w:color w:val="000000"/>
      <w:sz w:val="21"/>
    </w:rPr>
  </w:style>
  <w:style w:type="paragraph" w:styleId="1392" w:customStyle="1">
    <w:name w:val="UserStyle_3"/>
    <w:basedOn w:val="912"/>
    <w:link w:val="1391"/>
    <w:uiPriority w:val="0"/>
    <w:qFormat/>
    <w:pPr>
      <w:ind w:firstLine="420"/>
      <w:jc w:val="left"/>
      <w:spacing w:before="40" w:after="160" w:line="288" w:lineRule="auto"/>
      <w:widowControl/>
    </w:pPr>
    <w:rPr>
      <w:rFonts w:ascii="宋体" w:hAnsi="宋体" w:eastAsia="宋体"/>
      <w:color w:val="000000"/>
      <w:sz w:val="21"/>
    </w:rPr>
  </w:style>
  <w:style w:type="table" w:styleId="1393" w:customStyle="1">
    <w:name w:val="网格型2"/>
    <w:basedOn w:val="1024"/>
    <w:uiPriority w:val="39"/>
    <w:qFormat/>
    <w:rPr>
      <w:rFonts w:ascii="等线" w:hAnsi="等线" w:eastAsia="等线"/>
    </w:rPr>
    <w:tblPr/>
  </w:style>
  <w:style w:type="paragraph" w:styleId="1394" w:customStyle="1">
    <w:name w:val="样式4"/>
    <w:basedOn w:val="912"/>
    <w:uiPriority w:val="0"/>
    <w:qFormat/>
    <w:rPr>
      <w:sz w:val="24"/>
      <w:szCs w:val="24"/>
    </w:rPr>
  </w:style>
  <w:style w:type="paragraph" w:styleId="1395" w:customStyle="1">
    <w:name w:val="Char Char Char Char Char Char Char1 Char"/>
    <w:uiPriority w:val="0"/>
    <w:qFormat/>
    <w:pPr>
      <w:jc w:val="both"/>
      <w:widowControl w:val="off"/>
    </w:pPr>
    <w:rPr>
      <w:rFonts w:ascii="Tahoma" w:hAnsi="Tahoma" w:eastAsia="宋体" w:cs="Times New Roman"/>
      <w:sz w:val="24"/>
      <w:lang w:val="en-US" w:eastAsia="zh-CN" w:bidi="ar-SA"/>
    </w:rPr>
  </w:style>
  <w:style w:type="character" w:styleId="1396" w:customStyle="1">
    <w:name w:val="fontstyle01"/>
    <w:uiPriority w:val="0"/>
    <w:qFormat/>
    <w:rPr>
      <w:rFonts w:ascii="PingFangSC-Regular-Identity-H" w:hAnsi="PingFangSC-Regular-Identity-H"/>
      <w:color w:val="000008"/>
      <w:sz w:val="24"/>
      <w:szCs w:val="24"/>
    </w:rPr>
  </w:style>
  <w:style w:type="character" w:styleId="1397" w:customStyle="1">
    <w:name w:val="fontstyle21"/>
    <w:uiPriority w:val="0"/>
    <w:qFormat/>
    <w:rPr>
      <w:rFonts w:ascii="TimesNewRomanPSMT" w:hAnsi="TimesNewRomanPSMT"/>
      <w:color w:val="000008"/>
      <w:sz w:val="24"/>
      <w:szCs w:val="24"/>
    </w:rPr>
  </w:style>
  <w:style w:type="character" w:styleId="1398" w:customStyle="1">
    <w:name w:val="fontstyle11"/>
    <w:uiPriority w:val="0"/>
    <w:qFormat/>
    <w:rPr>
      <w:rFonts w:ascii="TimesNewRomanPSMT" w:hAnsi="TimesNewRomanPSMT"/>
      <w:color w:val="000008"/>
      <w:sz w:val="24"/>
      <w:szCs w:val="24"/>
    </w:rPr>
  </w:style>
  <w:style w:type="paragraph" w:styleId="1399" w:customStyle="1">
    <w:name w:val="页脚11"/>
    <w:basedOn w:val="912"/>
    <w:uiPriority w:val="99"/>
    <w:qFormat/>
    <w:pPr>
      <w:jc w:val="left"/>
      <w:tabs>
        <w:tab w:val="center" w:pos="4153" w:leader="none"/>
        <w:tab w:val="right" w:pos="8306" w:leader="none"/>
      </w:tabs>
    </w:pPr>
    <w:rPr>
      <w:sz w:val="18"/>
      <w:lang w:eastAsia="en-US"/>
    </w:rPr>
  </w:style>
  <w:style w:type="character" w:styleId="1400" w:customStyle="1">
    <w:name w:val="页脚 字符"/>
    <w:uiPriority w:val="99"/>
    <w:qFormat/>
    <w:rPr>
      <w:rFonts w:eastAsia="楷体_GB2312"/>
      <w:sz w:val="18"/>
    </w:rPr>
  </w:style>
  <w:style w:type="character" w:styleId="1401" w:customStyle="1">
    <w:name w:val="页眉 字符"/>
    <w:uiPriority w:val="99"/>
    <w:qFormat/>
    <w:rPr>
      <w:rFonts w:eastAsia="楷体_GB2312"/>
      <w:sz w:val="18"/>
    </w:rPr>
  </w:style>
  <w:style w:type="paragraph" w:styleId="1402" w:customStyle="1">
    <w:name w:val="样式 首行缩进:  2 字符"/>
    <w:basedOn w:val="912"/>
    <w:uiPriority w:val="0"/>
    <w:qFormat/>
    <w:pPr>
      <w:ind w:firstLine="560"/>
      <w:spacing w:line="360" w:lineRule="auto"/>
    </w:pPr>
    <w:rPr>
      <w:rFonts w:eastAsia="仿宋_GB2312" w:cs="宋体"/>
      <w:sz w:val="24"/>
    </w:rPr>
  </w:style>
  <w:style w:type="paragraph" w:styleId="1403" w:customStyle="1">
    <w:name w:val="无间隔1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404" w:customStyle="1">
    <w:name w:val="列出段落3"/>
    <w:basedOn w:val="912"/>
    <w:uiPriority w:val="0"/>
    <w:qFormat/>
    <w:pPr>
      <w:ind w:firstLine="420"/>
    </w:pPr>
    <w:rPr>
      <w:rFonts w:ascii="Calibri" w:hAnsi="Calibri" w:eastAsia="宋体"/>
      <w:szCs w:val="22"/>
    </w:rPr>
  </w:style>
  <w:style w:type="paragraph" w:styleId="1405" w:customStyle="1">
    <w:name w:val="_Style 62"/>
    <w:basedOn w:val="912"/>
    <w:next w:val="1127"/>
    <w:uiPriority w:val="34"/>
    <w:qFormat/>
    <w:pPr>
      <w:ind w:firstLine="420"/>
    </w:pPr>
    <w:rPr>
      <w:sz w:val="20"/>
    </w:rPr>
  </w:style>
  <w:style w:type="paragraph" w:styleId="1406" w:customStyle="1">
    <w:name w:val="null3"/>
    <w:uiPriority w:val="0"/>
    <w:qFormat/>
    <w:rPr>
      <w:rFonts w:hint="eastAsia" w:ascii="Calibri" w:hAnsi="Calibri" w:eastAsia="宋体" w:cs="Times New Roman"/>
      <w:lang w:val="en-US" w:eastAsia="zh-CN" w:bidi="ar-SA"/>
    </w:rPr>
  </w:style>
  <w:style w:type="paragraph" w:styleId="1407" w:customStyle="1">
    <w:name w:val="HtmlNormal1"/>
    <w:basedOn w:val="912"/>
    <w:uiPriority w:val="0"/>
    <w:qFormat/>
    <w:pPr>
      <w:jc w:val="left"/>
    </w:pPr>
    <w:rPr>
      <w:sz w:val="24"/>
    </w:rPr>
  </w:style>
  <w:style w:type="paragraph" w:styleId="1408" w:customStyle="1">
    <w:name w:val="正文2"/>
    <w:basedOn w:val="912"/>
    <w:uiPriority w:val="0"/>
    <w:qFormat/>
    <w:pPr>
      <w:ind w:firstLine="510"/>
      <w:spacing w:before="156" w:line="360" w:lineRule="auto"/>
    </w:pPr>
    <w:rPr>
      <w:rFonts w:eastAsia="宋体"/>
      <w:sz w:val="24"/>
    </w:rPr>
  </w:style>
  <w:style w:type="paragraph" w:styleId="1409" w:customStyle="1">
    <w:name w:val="Table Text"/>
    <w:basedOn w:val="912"/>
    <w:uiPriority w:val="0"/>
    <w:semiHidden/>
    <w:qFormat/>
    <w:rPr>
      <w:rFonts w:ascii="宋体" w:hAnsi="宋体" w:eastAsia="宋体" w:cs="宋体"/>
      <w:sz w:val="24"/>
      <w:szCs w:val="24"/>
      <w:lang w:eastAsia="en-US"/>
    </w:rPr>
  </w:style>
  <w:style w:type="paragraph" w:styleId="1410" w:customStyle="1">
    <w:name w:val="WPSOffice手动目录 1"/>
    <w:uiPriority w:val="0"/>
    <w:qFormat/>
    <w:rPr>
      <w:rFonts w:ascii="Times New Roman" w:hAnsi="Times New Roman" w:eastAsia="宋体" w:cs="Times New Roman"/>
      <w:lang w:val="en-US" w:eastAsia="zh-CN" w:bidi="ar-SA"/>
    </w:rPr>
  </w:style>
  <w:style w:type="paragraph" w:styleId="1411" w:customStyle="1">
    <w:name w:val="WPSOffice手动目录 2"/>
    <w:uiPriority w:val="0"/>
    <w:qFormat/>
    <w:rPr>
      <w:rFonts w:ascii="Times New Roman" w:hAnsi="Times New Roman" w:eastAsia="宋体" w:cs="Times New Roman"/>
      <w:lang w:val="en-US" w:eastAsia="zh-CN" w:bidi="ar-SA"/>
    </w:rPr>
  </w:style>
  <w:style w:type="paragraph" w:styleId="1412" w:customStyle="1">
    <w:name w:val="样式 正文缩进 + 首行缩进:  2 字符"/>
    <w:basedOn w:val="925"/>
    <w:uiPriority w:val="0"/>
    <w:pPr>
      <w:ind w:firstLine="200"/>
      <w:spacing w:line="360" w:lineRule="auto"/>
    </w:pPr>
    <w:rPr>
      <w:rFonts w:eastAsia="宋体" w:cs="宋体"/>
      <w:sz w:val="24"/>
    </w:rPr>
  </w:style>
  <w:style w:type="numbering" w:styleId="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董安国</cp:lastModifiedBy>
  <cp:revision>4</cp:revision>
  <dcterms:created xsi:type="dcterms:W3CDTF">2025-11-11T03:38:00Z</dcterms:created>
  <dcterms:modified xsi:type="dcterms:W3CDTF">2025-11-12T09:25:00Z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eyJoZGlkIjoiYWRlYTk2OGFiMjVjY2JjZjFlMTczYjU4ODEzYmUwMTMiLCJ1c2VySWQiOiI3MDAwNjYxMjAifQ==</vt:lpwstr>
  </property>
  <property fmtid="{D5CDD505-2E9C-101B-9397-08002B2CF9AE}" pid="3" name="KSOProductBuildVer">
    <vt:lpwstr>2052-11.1.0.14309</vt:lpwstr>
  </property>
  <property fmtid="{D5CDD505-2E9C-101B-9397-08002B2CF9AE}" pid="4" name="ICV">
    <vt:lpwstr>260ADE088DB14E498F0C1FA19C23B46D_13</vt:lpwstr>
  </property>
</Properties>
</file>